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8EF" w:rsidRPr="000B68EF" w:rsidRDefault="000B68EF" w:rsidP="000B68EF">
      <w:pPr>
        <w:pStyle w:val="testo"/>
        <w:spacing w:after="0"/>
        <w:jc w:val="both"/>
        <w:rPr>
          <w:rFonts w:ascii="URW DIN Cond"/>
          <w:b/>
          <w:color w:val="FFC000"/>
          <w:sz w:val="28"/>
          <w:szCs w:val="28"/>
        </w:rPr>
      </w:pPr>
      <w:r w:rsidRPr="000B68EF">
        <w:rPr>
          <w:rFonts w:ascii="URW DIN Cond"/>
          <w:b/>
          <w:color w:val="FFC000"/>
          <w:sz w:val="28"/>
          <w:szCs w:val="28"/>
        </w:rPr>
        <w:t xml:space="preserve">OFFERTA PLACET </w:t>
      </w:r>
    </w:p>
    <w:p w:rsidR="000B68EF" w:rsidRPr="009C7C41" w:rsidRDefault="000B68EF" w:rsidP="000B68EF">
      <w:pPr>
        <w:pStyle w:val="testo"/>
        <w:spacing w:after="0"/>
        <w:jc w:val="both"/>
        <w:rPr>
          <w:rFonts w:ascii="URW DIN Cond"/>
          <w:b/>
          <w:sz w:val="24"/>
          <w:szCs w:val="24"/>
        </w:rPr>
      </w:pPr>
      <w:r w:rsidRPr="009C7C41">
        <w:rPr>
          <w:rFonts w:ascii="URW DIN Cond"/>
          <w:b/>
          <w:sz w:val="24"/>
          <w:szCs w:val="24"/>
        </w:rPr>
        <w:t>CONDIZIONI GENERALI DI FORNITURA GAS NATURALE</w:t>
      </w:r>
    </w:p>
    <w:p w:rsidR="000B68EF" w:rsidRPr="009C7C41" w:rsidRDefault="000B68EF" w:rsidP="000B68EF">
      <w:pPr>
        <w:pStyle w:val="testo"/>
        <w:spacing w:after="0"/>
        <w:jc w:val="both"/>
        <w:rPr>
          <w:rFonts w:ascii="URW DIN Cond"/>
          <w:b/>
          <w:sz w:val="24"/>
          <w:szCs w:val="24"/>
        </w:rPr>
      </w:pPr>
      <w:r w:rsidRPr="009C7C41">
        <w:rPr>
          <w:rFonts w:ascii="URW DIN Cond"/>
          <w:b/>
          <w:sz w:val="24"/>
          <w:szCs w:val="24"/>
        </w:rPr>
        <w:t>CLIENTI DOMESTICI E CONDOMINI USO DOMESTICO</w:t>
      </w:r>
      <w:bookmarkStart w:id="0" w:name="_GoBack"/>
      <w:bookmarkEnd w:id="0"/>
    </w:p>
    <w:p w:rsidR="000B68EF" w:rsidRPr="000B68EF" w:rsidRDefault="000B68EF" w:rsidP="000B68EF">
      <w:pPr>
        <w:pStyle w:val="testo"/>
        <w:spacing w:after="0"/>
        <w:jc w:val="both"/>
        <w:rPr>
          <w:rFonts w:ascii="URW DIN Cond"/>
          <w:b/>
          <w:sz w:val="18"/>
          <w:szCs w:val="18"/>
        </w:rPr>
      </w:pPr>
    </w:p>
    <w:p w:rsidR="00EA79EC" w:rsidRDefault="00EA79EC" w:rsidP="00FA46A0">
      <w:pPr>
        <w:pStyle w:val="testo"/>
        <w:spacing w:after="0"/>
        <w:jc w:val="both"/>
        <w:rPr>
          <w:lang w:bidi="it-IT"/>
        </w:rPr>
      </w:pPr>
      <w:r>
        <w:rPr>
          <w:lang w:bidi="it-IT"/>
        </w:rPr>
        <w:t xml:space="preserve">Articolo 1. Definizioni e normativa di riferimento </w:t>
      </w:r>
    </w:p>
    <w:p w:rsidR="00EA79EC" w:rsidRDefault="00EA79EC" w:rsidP="0048754A">
      <w:pPr>
        <w:pStyle w:val="testo"/>
        <w:spacing w:after="0"/>
        <w:jc w:val="both"/>
        <w:rPr>
          <w:lang w:bidi="it-IT"/>
        </w:rPr>
      </w:pPr>
      <w:r>
        <w:rPr>
          <w:lang w:bidi="it-IT"/>
        </w:rPr>
        <w:t xml:space="preserve">ARERA: è l’Autorità di Regolazione per Energia Reti e Ambiente, istituita con legge 14 novembre 1995, n. 481, G.U. n. 270 del 18 novembre 1995; Attivazione della fornitura: è il momento dal quale, in coerenza con la regolazione delle modalità di accesso al servizio di distribuzione del gas naturale il Contratto è materialmente eseguito e la relativa fornitura è posta in carico al Fornitore; </w:t>
      </w:r>
      <w:r w:rsidR="0048754A">
        <w:rPr>
          <w:lang w:bidi="it-IT"/>
        </w:rPr>
        <w:t xml:space="preserve"> </w:t>
      </w:r>
      <w:r>
        <w:rPr>
          <w:lang w:bidi="it-IT"/>
        </w:rPr>
        <w:t xml:space="preserve">Bolletta 2.0: è l’Allegato A alla deliberazione dell’ARERA 16 ottobre 2014, 501/2014/R/COM come successivamente modificato e integrato; Cessazione della fornitura: è lo scioglimento, per qualunque causa, del contratto di fornitura tra il Fornitore e il Cliente finale, strumentale o comunque connesso con un cambio Fornitore, o una disattivazione del Punto di fornitura, o una voltura; </w:t>
      </w:r>
      <w:r w:rsidR="0048754A">
        <w:rPr>
          <w:lang w:bidi="it-IT"/>
        </w:rPr>
        <w:t xml:space="preserve"> </w:t>
      </w:r>
      <w:r>
        <w:rPr>
          <w:lang w:bidi="it-IT"/>
        </w:rPr>
        <w:t xml:space="preserve">Cliente o Cliente finale: è il Cliente domestico e il Condominio uso domestico; </w:t>
      </w:r>
      <w:r w:rsidR="0048754A">
        <w:rPr>
          <w:lang w:bidi="it-IT"/>
        </w:rPr>
        <w:t xml:space="preserve"> </w:t>
      </w:r>
      <w:r>
        <w:rPr>
          <w:lang w:bidi="it-IT"/>
        </w:rPr>
        <w:t xml:space="preserve">Cliente domestico: è la persona fisica che acquista gas naturale per il proprio consumo domestico escluse le attività commerciali o professionali; Clienti titolari di bonus sociale: sono i Clienti domestici di gas naturale che risultino in condizioni di disagio economico così come definiti all’articolo 2, comma 2.3 del TIBEG; </w:t>
      </w:r>
      <w:r w:rsidR="0048754A">
        <w:rPr>
          <w:lang w:bidi="it-IT"/>
        </w:rPr>
        <w:t xml:space="preserve"> </w:t>
      </w:r>
      <w:r>
        <w:rPr>
          <w:lang w:bidi="it-IT"/>
        </w:rPr>
        <w:t>Codice di condotta commerciale: è il Codice di condotta commerciale per la vendita di energia elettrica e di gas naturale ai clienti finali, approvato con deliberazione 8 luglio 2010, ARG/</w:t>
      </w:r>
      <w:proofErr w:type="spellStart"/>
      <w:r>
        <w:rPr>
          <w:lang w:bidi="it-IT"/>
        </w:rPr>
        <w:t>com</w:t>
      </w:r>
      <w:proofErr w:type="spellEnd"/>
      <w:r>
        <w:rPr>
          <w:lang w:bidi="it-IT"/>
        </w:rPr>
        <w:t xml:space="preserve"> 104/10, come successivamente modificato e integrato; Codice del consumo: è il d.lgs. 206/05, G.U. n. 235 del 8 ottobre 2005 come successivamente modificato e integrato; Codice in materia di protezione dei dati personali: è il d.lgs. 196/03, G.U. n. 174 del 29 luglio 2003, come successivamente modificato e integrato; Coefficiente C: è il coefficiente di correzione dei volumi che serve a riportare i volumi alle condizioni standard, trasformarli quindi da metri cubi a standard metri cubi (</w:t>
      </w:r>
      <w:proofErr w:type="spellStart"/>
      <w:r>
        <w:rPr>
          <w:lang w:bidi="it-IT"/>
        </w:rPr>
        <w:t>Smc</w:t>
      </w:r>
      <w:proofErr w:type="spellEnd"/>
      <w:r>
        <w:rPr>
          <w:lang w:bidi="it-IT"/>
        </w:rPr>
        <w:t>);</w:t>
      </w:r>
      <w:r w:rsidR="0048754A">
        <w:rPr>
          <w:lang w:bidi="it-IT"/>
        </w:rPr>
        <w:t xml:space="preserve"> </w:t>
      </w:r>
      <w:r>
        <w:rPr>
          <w:lang w:bidi="it-IT"/>
        </w:rPr>
        <w:t>Condominio uso domestico: è un intero edificio diviso in più unità catastali in cui sia presente almeno una unità abitativa con utilizzi analoghi a quelli di cui al Cliente domestico, purché: I) il titolare del punto di fornitura non sia una persona giuridica, salvo il caso in cui esso svolga le funzioni di amministratore del condominio; II) il gas riconsegnato non sia utilizzato in attività produttive, ivi inclusi la commercializzazione di servizi energetici quali, ad esempio, la gestione calore;</w:t>
      </w:r>
      <w:r w:rsidR="0048754A">
        <w:rPr>
          <w:lang w:bidi="it-IT"/>
        </w:rPr>
        <w:t xml:space="preserve"> </w:t>
      </w:r>
      <w:r>
        <w:rPr>
          <w:lang w:bidi="it-IT"/>
        </w:rPr>
        <w:t>Contratto: è il contratto di fornitura di gas naturale concluso sulla base dell’Offerta PLACET e regolato dalle presenti Condizioni generali di fornitura e dalle Condizioni economiche;</w:t>
      </w:r>
    </w:p>
    <w:p w:rsidR="00EA79EC" w:rsidRDefault="00EA79EC" w:rsidP="00EA79EC">
      <w:pPr>
        <w:pStyle w:val="testo"/>
        <w:spacing w:after="0"/>
        <w:jc w:val="both"/>
        <w:rPr>
          <w:lang w:bidi="it-IT"/>
        </w:rPr>
      </w:pPr>
      <w:r>
        <w:rPr>
          <w:lang w:bidi="it-IT"/>
        </w:rPr>
        <w:t>Distributore: è il soggetto che svolge il servizio di distribuzione di gas naturale ai sensi dell’art.14 d.lgs.164/00, G.U. n. 142 del 20 giugno 2000, alla cui rete è connesso il Punto di fornitura del Cliente; Documentazione contrattuale: è l’insieme dei documenti che formano parte integrante del Contratto e consta delle presenti Condizioni generali di fornitura e almeno di:</w:t>
      </w:r>
    </w:p>
    <w:p w:rsidR="00EA79EC" w:rsidRDefault="00EA79EC" w:rsidP="00EA79EC">
      <w:pPr>
        <w:pStyle w:val="testo"/>
        <w:spacing w:after="0"/>
        <w:jc w:val="both"/>
        <w:rPr>
          <w:lang w:bidi="it-IT"/>
        </w:rPr>
      </w:pPr>
      <w:r>
        <w:rPr>
          <w:lang w:bidi="it-IT"/>
        </w:rPr>
        <w:t>a) modulistica per la conclusione dell’offerta PLACET;</w:t>
      </w:r>
    </w:p>
    <w:p w:rsidR="00EA79EC" w:rsidRDefault="00EA79EC" w:rsidP="00EA79EC">
      <w:pPr>
        <w:pStyle w:val="testo"/>
        <w:spacing w:after="0"/>
        <w:jc w:val="both"/>
        <w:rPr>
          <w:lang w:bidi="it-IT"/>
        </w:rPr>
      </w:pPr>
      <w:r>
        <w:rPr>
          <w:lang w:bidi="it-IT"/>
        </w:rPr>
        <w:t>b) informazioni preliminari alla conclusione del contratto, ai sensi dell’Articolo 9, comma 9.1, lettere da a. a</w:t>
      </w:r>
    </w:p>
    <w:p w:rsidR="00EA79EC" w:rsidRDefault="00EA79EC" w:rsidP="00EA79EC">
      <w:pPr>
        <w:pStyle w:val="testo"/>
        <w:spacing w:after="0"/>
        <w:jc w:val="both"/>
        <w:rPr>
          <w:lang w:bidi="it-IT"/>
        </w:rPr>
      </w:pPr>
      <w:r w:rsidRPr="00EA79EC">
        <w:rPr>
          <w:lang w:bidi="it-IT"/>
        </w:rPr>
        <w:t>g. del Codice di condotta commerciale;</w:t>
      </w:r>
    </w:p>
    <w:p w:rsidR="00590CC7" w:rsidRDefault="00590CC7" w:rsidP="00590CC7">
      <w:pPr>
        <w:pStyle w:val="testo"/>
        <w:spacing w:after="0"/>
        <w:jc w:val="both"/>
        <w:rPr>
          <w:lang w:bidi="it-IT"/>
        </w:rPr>
      </w:pPr>
      <w:r>
        <w:rPr>
          <w:lang w:bidi="it-IT"/>
        </w:rPr>
        <w:t>c) nota informativa per il Cliente finale;</w:t>
      </w:r>
    </w:p>
    <w:p w:rsidR="00590CC7" w:rsidRDefault="00590CC7" w:rsidP="00590CC7">
      <w:pPr>
        <w:pStyle w:val="testo"/>
        <w:spacing w:after="0"/>
        <w:jc w:val="both"/>
        <w:rPr>
          <w:lang w:bidi="it-IT"/>
        </w:rPr>
      </w:pPr>
      <w:r>
        <w:rPr>
          <w:lang w:bidi="it-IT"/>
        </w:rPr>
        <w:t>d) modulistica recante le condizioni economiche;</w:t>
      </w:r>
    </w:p>
    <w:p w:rsidR="00590CC7" w:rsidRDefault="00590CC7" w:rsidP="00590CC7">
      <w:pPr>
        <w:pStyle w:val="testo"/>
        <w:spacing w:after="0"/>
        <w:jc w:val="both"/>
        <w:rPr>
          <w:lang w:bidi="it-IT"/>
        </w:rPr>
      </w:pPr>
      <w:r>
        <w:rPr>
          <w:lang w:bidi="it-IT"/>
        </w:rPr>
        <w:t>e) scheda di confrontabilità;</w:t>
      </w:r>
    </w:p>
    <w:p w:rsidR="00590CC7" w:rsidRDefault="00590CC7" w:rsidP="00590CC7">
      <w:pPr>
        <w:pStyle w:val="testo"/>
        <w:spacing w:after="0"/>
        <w:jc w:val="both"/>
        <w:rPr>
          <w:lang w:bidi="it-IT"/>
        </w:rPr>
      </w:pPr>
      <w:r>
        <w:rPr>
          <w:lang w:bidi="it-IT"/>
        </w:rPr>
        <w:t>f) informazioni su livelli specifici e generali di qualità commerciale;</w:t>
      </w:r>
    </w:p>
    <w:p w:rsidR="00590CC7" w:rsidRDefault="00590CC7" w:rsidP="00590CC7">
      <w:pPr>
        <w:pStyle w:val="testo"/>
        <w:spacing w:after="0"/>
        <w:jc w:val="both"/>
        <w:rPr>
          <w:lang w:bidi="it-IT"/>
        </w:rPr>
      </w:pPr>
      <w:r>
        <w:rPr>
          <w:lang w:bidi="it-IT"/>
        </w:rPr>
        <w:t>g) modulistica per l’esercizio del diritto di ripensamento per i soli Clienti finali domestici;</w:t>
      </w:r>
    </w:p>
    <w:p w:rsidR="00590CC7" w:rsidRDefault="00590CC7" w:rsidP="00590CC7">
      <w:pPr>
        <w:pStyle w:val="testo"/>
        <w:spacing w:after="0"/>
        <w:jc w:val="both"/>
        <w:rPr>
          <w:lang w:bidi="it-IT"/>
        </w:rPr>
      </w:pPr>
      <w:r>
        <w:rPr>
          <w:lang w:bidi="it-IT"/>
        </w:rPr>
        <w:t>h) modulo per la presentazione dei reclami;</w:t>
      </w:r>
    </w:p>
    <w:p w:rsidR="00590CC7" w:rsidRDefault="00590CC7" w:rsidP="00590CC7">
      <w:pPr>
        <w:pStyle w:val="testo"/>
        <w:spacing w:after="0"/>
        <w:jc w:val="both"/>
        <w:rPr>
          <w:lang w:bidi="it-IT"/>
        </w:rPr>
      </w:pPr>
      <w:r>
        <w:rPr>
          <w:lang w:bidi="it-IT"/>
        </w:rPr>
        <w:t>i) modulo per la presentazione dei reclami per fatturazione di importi anomali;</w:t>
      </w:r>
    </w:p>
    <w:p w:rsidR="00590CC7" w:rsidRDefault="00590CC7" w:rsidP="00590CC7">
      <w:pPr>
        <w:pStyle w:val="testo"/>
        <w:spacing w:after="0"/>
        <w:jc w:val="both"/>
        <w:rPr>
          <w:lang w:bidi="it-IT"/>
        </w:rPr>
      </w:pPr>
      <w:r>
        <w:rPr>
          <w:lang w:bidi="it-IT"/>
        </w:rPr>
        <w:t>j) informativa sul trattamento per i dati personali;</w:t>
      </w:r>
    </w:p>
    <w:p w:rsidR="00590CC7" w:rsidRDefault="00590CC7" w:rsidP="00590CC7">
      <w:pPr>
        <w:pStyle w:val="testo"/>
        <w:spacing w:after="0"/>
        <w:jc w:val="both"/>
        <w:rPr>
          <w:lang w:bidi="it-IT"/>
        </w:rPr>
      </w:pPr>
      <w:r>
        <w:rPr>
          <w:lang w:bidi="it-IT"/>
        </w:rPr>
        <w:t>k) ogni ulteriore modulo o informazione obbligatori ai sensi della normativa vigente ovvero ogni ulteriore modulo o informazione utile alla conclusione del contratto1.</w:t>
      </w:r>
    </w:p>
    <w:p w:rsidR="00590CC7" w:rsidRDefault="00590CC7" w:rsidP="00590CC7">
      <w:pPr>
        <w:pStyle w:val="testo"/>
        <w:spacing w:after="0"/>
        <w:jc w:val="both"/>
        <w:rPr>
          <w:lang w:bidi="it-IT"/>
        </w:rPr>
      </w:pPr>
      <w:r>
        <w:rPr>
          <w:lang w:bidi="it-IT"/>
        </w:rPr>
        <w:t xml:space="preserve">Fattura di chiusura: è la fattura emessa a seguito di cessazione della </w:t>
      </w:r>
      <w:r w:rsidRPr="00590CC7">
        <w:rPr>
          <w:lang w:bidi="it-IT"/>
        </w:rPr>
        <w:t>fornitura di gas naturale in essere tra Fornitore e Cliente finale;</w:t>
      </w:r>
      <w:r w:rsidR="00C87BC2">
        <w:rPr>
          <w:lang w:bidi="it-IT"/>
        </w:rPr>
        <w:t xml:space="preserve"> </w:t>
      </w:r>
      <w:r>
        <w:rPr>
          <w:lang w:bidi="it-IT"/>
        </w:rPr>
        <w:t xml:space="preserve">Fattura di periodo: è la fattura, diversa dalla fattura di chiusura, emessa regolarmente nel corso del rapporto contrattuale tra Fornitore e Cliente finale; Fornitore: è la controparte venditrice del Cliente finale nell’ambito di un Contratto; Fornitore di ultima istanza (FUI): è il/i fornitore/i di ultima istanza individuato/i per garantire la fornitura di gas naturale ai clienti finali che rimangono senza fornitore; Forza maggiore: è ogni evento imprevedibile e inevitabile non imputabile alle parti, </w:t>
      </w:r>
      <w:r>
        <w:rPr>
          <w:lang w:bidi="it-IT"/>
        </w:rPr>
        <w:t xml:space="preserve">che rende in tutto o in parte materialmente o giuridicamente impossibile l’adempimento di una obbligazione; Gruppo di misura o misuratore: è l’insieme delle apparecchiature necessarie preposte alla rilevazione e misura del gas naturale prelevato presso il Punto di fornitura; Mercato libero: è il mercato in cui il Cliente sceglie liberamente da quale Fornitore e a quali condizioni comprare il gas naturale; Offerte PLACET: sono offerte di mercato libero, formulate distintamente con riferimento al settore dell’energia elettrica e al settore del gas naturale e a Prezzo Libero A Condizioni Equiparate di Tutela, disciplinate dall’Allegato A alla deliberazione dell’ARERA 27 luglio 2017 555/2017/R/ COM e </w:t>
      </w:r>
      <w:proofErr w:type="spellStart"/>
      <w:r>
        <w:rPr>
          <w:lang w:bidi="it-IT"/>
        </w:rPr>
        <w:t>s.m.i.</w:t>
      </w:r>
      <w:proofErr w:type="spellEnd"/>
      <w:r>
        <w:rPr>
          <w:lang w:bidi="it-IT"/>
        </w:rPr>
        <w:t xml:space="preserve">; Parti: sono il Cliente e il Fornitore; Punto di fornitura: è il punto di riconsegna in cui il Fornitore mette a disposizione il gas naturale al Cliente;  </w:t>
      </w:r>
    </w:p>
    <w:p w:rsidR="00590CC7" w:rsidRDefault="00590CC7" w:rsidP="00590CC7">
      <w:pPr>
        <w:pStyle w:val="testo"/>
        <w:spacing w:after="0"/>
        <w:jc w:val="both"/>
        <w:rPr>
          <w:lang w:bidi="it-IT"/>
        </w:rPr>
      </w:pPr>
      <w:r>
        <w:rPr>
          <w:lang w:bidi="it-IT"/>
        </w:rPr>
        <w:t xml:space="preserve">RQDG: è la Regolazione della qualità dei servizi di distribuzione e misura del gas, per il periodo di regolazione 2014-2019; Servizio di default: è il servizio funzionale a garantire il bilanciamento e la corretta contabilizzazione del gas prelevato senza titolo, fintanto che il Punto di fornitura non sia fisicamente disalimentato o trovi un Fornitore; Servizio di tutela del gas naturale: è il servizio che il Fornitore è tenuto ad offrire ai propri clienti, ai sensi dell’art. 1, comma 3 della legge 3 agosto 2007, n. 125/07, G.U. n.188 del 14 agosto 2007; Servizi di ultima istanza: sono i servizi erogati dal fornitore del servizio di default di distribuzione e dal FUI; SII: è il Sistema Informativo Integrato di cui alla legge 13 agosto 2010, n. 129, G.U. n.192 del 18 agosto 2010; Supporto durevole: è ogni strumento che permetta al Fornitore e al Cliente finale di conservare le informa- zioni che gli sono personalmente indirizzate in modo da potervi accedere in futuro per un periodo di tempo adeguato alle finalità cui esse sono destinate e che permetta la riproduzione identica delle informazioni memorizzate; rientrano tra detti supporti, a titolo di esempio, documenti su carta, CD-ROM, DVD, schede di memoria o dischi rigidi del computer, messaggi di posta elettronica; Switching: è (I) l’accesso per sostituzione nella fornitura ai punti di riconsegna, (II) l’accesso per attivazione della fornitura di gas naturale di un punto di riconsegna della rete di distribuzione; TIBEG: il Testo integrato delle modalità applicative dei regimi di compensazione della spesa sostenuta dai clienti domestici disagiati per le forniture di energia elettrica e gas naturale; TICO: è il Testo integrato in materia di procedure di risoluzione extragiudiziale delle controversie tra clienti o utenti finali e operatori   o gestori nei settori regolati dall’ARERA per l’energia elettrica il gas e il sistema idrico; TIF: è il Testo integrato delle disposizioni dell’ARERA in materia di fatturazione del servizio di vendita al dettaglio per i clienti di energia elettrica e di gas naturale; TIMG: è il Testo integrato morosità gas; TIQV: è il Testo integrato della regolazione della qualità dei servizi di vendita di energia elettrica e di gas naturale; TIVG: è il Testo integrato per l’erogazione dei servizi di vendita al dettaglio di gas naturale e gas diversi dal gas naturale distribuiti a mezzo di reti. Tutte le deliberazioni che approvano i testi integrati dell’ARERA citati nel presente Contratto sono pubblicate sul sito www.arera.it </w:t>
      </w:r>
    </w:p>
    <w:p w:rsidR="00590CC7" w:rsidRDefault="00590CC7" w:rsidP="00590CC7">
      <w:pPr>
        <w:pStyle w:val="testo"/>
        <w:spacing w:after="0"/>
        <w:jc w:val="both"/>
        <w:rPr>
          <w:lang w:bidi="it-IT"/>
        </w:rPr>
      </w:pPr>
      <w:r>
        <w:rPr>
          <w:lang w:bidi="it-IT"/>
        </w:rPr>
        <w:t xml:space="preserve">Articolo 2. Oggetto </w:t>
      </w:r>
    </w:p>
    <w:p w:rsidR="003E090E" w:rsidRDefault="00590CC7" w:rsidP="003E090E">
      <w:pPr>
        <w:pStyle w:val="testo"/>
        <w:spacing w:after="0"/>
        <w:jc w:val="both"/>
        <w:rPr>
          <w:lang w:bidi="it-IT"/>
        </w:rPr>
      </w:pPr>
      <w:r>
        <w:rPr>
          <w:lang w:bidi="it-IT"/>
        </w:rPr>
        <w:t>2.1 Il Contratto ha per oggetto esclusivo la somministrazione di gas</w:t>
      </w:r>
      <w:r w:rsidR="003E090E">
        <w:rPr>
          <w:lang w:bidi="it-IT"/>
        </w:rPr>
        <w:t xml:space="preserve"> naturale al Cliente da parte del Fornitore, presso il Punto di fornitura individuato, secondo le presenti Condizioni generali di fornitura e le Condizioni economiche offerte nell’ambito della presente Offerta PLACET. 2.2 È esclusa la fornitura di servizi o prodotti aggiuntivi, anche mediante la sottoscrizione di patti aggiuntivi e integrativi del Contratto. </w:t>
      </w:r>
    </w:p>
    <w:p w:rsidR="003E090E" w:rsidRDefault="003E090E" w:rsidP="003E090E">
      <w:pPr>
        <w:pStyle w:val="testo"/>
        <w:spacing w:after="0"/>
        <w:jc w:val="both"/>
        <w:rPr>
          <w:lang w:bidi="it-IT"/>
        </w:rPr>
      </w:pPr>
      <w:r>
        <w:rPr>
          <w:lang w:bidi="it-IT"/>
        </w:rPr>
        <w:t xml:space="preserve">2.3 Costituisce altresì oggetto del Contratto il credito eventualmente acquistato dal Fornitore da parte dell’esercente il servizio di default che in precedenza serviva il Cliente. </w:t>
      </w:r>
    </w:p>
    <w:p w:rsidR="003E090E" w:rsidRDefault="003E090E" w:rsidP="003E090E">
      <w:pPr>
        <w:pStyle w:val="testo"/>
        <w:spacing w:after="0"/>
        <w:jc w:val="both"/>
        <w:rPr>
          <w:lang w:bidi="it-IT"/>
        </w:rPr>
      </w:pPr>
      <w:r>
        <w:rPr>
          <w:lang w:bidi="it-IT"/>
        </w:rPr>
        <w:t xml:space="preserve">2.4 Il Fornitore conclude, direttamente o indirettamente, i necessari contratti di dispacciamento e trasporto ovvero di distribuzione con i gestori di rete interessati, secondo le disposizioni di cui all’Articolo 7. 2.5 Il Cliente ha l’obbligo di utilizzare il gas naturale messo a disposizione dal Fornitore per alimentare unicamente il Punto di fornitura di cui al Contratto. Al Cliente è fatto divieto di utilizzare il gas naturale per   usi differenti da quelli dichiarati e in luoghi diversi da quelli indicati nel Contratto. </w:t>
      </w:r>
    </w:p>
    <w:p w:rsidR="003E090E" w:rsidRDefault="003E090E" w:rsidP="003E090E">
      <w:pPr>
        <w:pStyle w:val="testo"/>
        <w:spacing w:after="0"/>
        <w:jc w:val="both"/>
        <w:rPr>
          <w:lang w:bidi="it-IT"/>
        </w:rPr>
      </w:pPr>
      <w:r>
        <w:rPr>
          <w:lang w:bidi="it-IT"/>
        </w:rPr>
        <w:t xml:space="preserve">2.6 È inoltre fatto divieto al Cliente di cedere il gas naturale a terzi mediante derivazioni o altri metodi di consegna. </w:t>
      </w:r>
    </w:p>
    <w:p w:rsidR="003E090E" w:rsidRDefault="003E090E" w:rsidP="003E090E">
      <w:pPr>
        <w:pStyle w:val="testo"/>
        <w:spacing w:after="0"/>
        <w:jc w:val="both"/>
        <w:rPr>
          <w:lang w:bidi="it-IT"/>
        </w:rPr>
      </w:pPr>
      <w:r>
        <w:rPr>
          <w:lang w:bidi="it-IT"/>
        </w:rPr>
        <w:t xml:space="preserve">Articolo 3. Conclusione del Contratto </w:t>
      </w:r>
    </w:p>
    <w:p w:rsidR="003E090E" w:rsidRDefault="003E090E" w:rsidP="003E090E">
      <w:pPr>
        <w:pStyle w:val="testo"/>
        <w:spacing w:after="0"/>
        <w:jc w:val="both"/>
        <w:rPr>
          <w:lang w:bidi="it-IT"/>
        </w:rPr>
      </w:pPr>
      <w:r>
        <w:rPr>
          <w:lang w:bidi="it-IT"/>
        </w:rPr>
        <w:t xml:space="preserve">3.1 Il Cliente formula, sulla base di un modulo predisposto dal Fornitore, allegato al presente Contratto, una proposta di contratto irrevocabile per 45 giorni successivi alla sua data di sottoscrizione. Entro quest’ultimo termine il Fornitore comunica per iscritto su Supporto durevole al Cliente l’accettazione o il rifiuto della proposta. Decorso inutilmente il predetto termine, la proposta di Contratto si intende revocata. Il Contratto si conclude con la ricezione da parte del Cliente dell’accettazione del Fornitore. Fatta salva prova contraria, la </w:t>
      </w:r>
      <w:r>
        <w:rPr>
          <w:lang w:bidi="it-IT"/>
        </w:rPr>
        <w:lastRenderedPageBreak/>
        <w:t xml:space="preserve">suddetta comunicazione si presume ricevuta trascorsi 10 (dieci) giorni dall’invio effettivo da parte del Fornitore </w:t>
      </w:r>
    </w:p>
    <w:p w:rsidR="004427E0" w:rsidRDefault="003E090E" w:rsidP="004427E0">
      <w:pPr>
        <w:pStyle w:val="testo"/>
        <w:spacing w:after="0"/>
        <w:jc w:val="both"/>
        <w:rPr>
          <w:lang w:bidi="it-IT"/>
        </w:rPr>
      </w:pPr>
      <w:r>
        <w:rPr>
          <w:lang w:bidi="it-IT"/>
        </w:rPr>
        <w:t xml:space="preserve">3.2 Al momento della conclusione del Contratto o, se la conclusione è avvenuta tramite tecniche di comunicazione a distanza che non consentono l’immediata trasmissione della Documentazione contrattuale, al più tardi entro 10 (dieci) giorni lavorativi dalla conclusione e comunque prima dell’Attivazione della fornitura, il Fornitore consegnerà o </w:t>
      </w:r>
      <w:r w:rsidR="004427E0">
        <w:rPr>
          <w:lang w:bidi="it-IT"/>
        </w:rPr>
        <w:t>trasmetterà al Cliente una copia integrale della Documentazione contrattuale in forma cartacea o, a scelta del Cliente, su altro Supporto durevole.</w:t>
      </w:r>
    </w:p>
    <w:p w:rsidR="00F01151" w:rsidRDefault="004427E0" w:rsidP="00F01151">
      <w:pPr>
        <w:pStyle w:val="testo"/>
        <w:spacing w:after="0"/>
        <w:jc w:val="both"/>
        <w:rPr>
          <w:lang w:bidi="it-IT"/>
        </w:rPr>
      </w:pPr>
      <w:r>
        <w:rPr>
          <w:lang w:bidi="it-IT"/>
        </w:rPr>
        <w:t>3.3 Qualora il Contratto sia concluso con un Cliente finale fuori dei locali commerciali, il Fornitore è tenuto a fornire al Cliente domestico una copia del Contratto firmato o la conferma del Contratto su supporto cartaceo o, se il Cliente finale domestico è d’accordo, su un altro Supporto durevole. Fermo restando quanto previsto dall’articolo 51, comma 6, del Codice del consumo per i contratti telefonici, nel caso di qualsiasi contratto a distanza, il Fornitore fornisce al Cliente finale domestico la conferma del Contratto concluso su Supporto durevole, prima dell’Attivazione della fornitura 3.4 Il Fornitore può, previo consenso del Cliente, sostituire la consegna o la trasmissione delle informazioni ovvero dei moduli di cui alle lettere da</w:t>
      </w:r>
      <w:r w:rsidR="00F01151">
        <w:rPr>
          <w:lang w:bidi="it-IT"/>
        </w:rPr>
        <w:t xml:space="preserve"> f) a j) della Documentazione contrattuale con la messa a disposizione sul proprio sito internet, con accesso diretto dalla home page, in modalità anche stampabile e presso gli eventuali sportelli fisici.</w:t>
      </w:r>
    </w:p>
    <w:p w:rsidR="00F01151" w:rsidRDefault="00F01151" w:rsidP="00F01151">
      <w:pPr>
        <w:pStyle w:val="testo"/>
        <w:spacing w:after="0"/>
        <w:jc w:val="both"/>
        <w:rPr>
          <w:lang w:bidi="it-IT"/>
        </w:rPr>
      </w:pPr>
      <w:r>
        <w:rPr>
          <w:lang w:bidi="it-IT"/>
        </w:rPr>
        <w:t>3.5 La Documentazione contrattuale si intende integrata da qualsiasi ulteriore documento o informazione che divenga obbligatorio ai sensi della normativa vigente.</w:t>
      </w:r>
    </w:p>
    <w:p w:rsidR="00F01151" w:rsidRDefault="00F01151" w:rsidP="00F01151">
      <w:pPr>
        <w:pStyle w:val="testo"/>
        <w:spacing w:after="0"/>
        <w:jc w:val="both"/>
        <w:rPr>
          <w:lang w:bidi="it-IT"/>
        </w:rPr>
      </w:pPr>
      <w:r>
        <w:rPr>
          <w:lang w:bidi="it-IT"/>
        </w:rPr>
        <w:t>3.8 Nei casi diversi dal cambio di fornitore (ad esempio voltura o nuovi allacci), il cliente dichiara che ha la legittima disponibilità dell’immobile in cui sono situati i propri impianti.</w:t>
      </w:r>
    </w:p>
    <w:p w:rsidR="00F01151" w:rsidRDefault="00F01151" w:rsidP="00F01151">
      <w:pPr>
        <w:pStyle w:val="testo"/>
        <w:spacing w:after="0"/>
        <w:jc w:val="both"/>
        <w:rPr>
          <w:lang w:bidi="it-IT"/>
        </w:rPr>
      </w:pPr>
      <w:r>
        <w:rPr>
          <w:lang w:bidi="it-IT"/>
        </w:rPr>
        <w:t>Articolo 4. Procura a recedere</w:t>
      </w:r>
    </w:p>
    <w:p w:rsidR="00F01151" w:rsidRDefault="00F01151" w:rsidP="00F01151">
      <w:pPr>
        <w:pStyle w:val="testo"/>
        <w:spacing w:after="0"/>
        <w:jc w:val="both"/>
        <w:rPr>
          <w:lang w:bidi="it-IT"/>
        </w:rPr>
      </w:pPr>
      <w:r>
        <w:rPr>
          <w:lang w:bidi="it-IT"/>
        </w:rPr>
        <w:t>4.1 In caso di Contratto per cambio Fornitore, il Cliente, con la conclusione del Contratto, conferisce mandato con rappresentanza ad AURICA perché proceda in suo nome e per suo conto a recedere dal contratto con il precedente Fornitore con le modalità di cui al successivo comma 4.2. Il mandato si intende conferito a titolo gratuito</w:t>
      </w:r>
    </w:p>
    <w:p w:rsidR="0079403B" w:rsidRDefault="00F01151" w:rsidP="0079403B">
      <w:pPr>
        <w:pStyle w:val="testo"/>
        <w:spacing w:after="0"/>
        <w:jc w:val="both"/>
        <w:rPr>
          <w:lang w:bidi="it-IT"/>
        </w:rPr>
      </w:pPr>
      <w:r>
        <w:rPr>
          <w:lang w:bidi="it-IT"/>
        </w:rPr>
        <w:t xml:space="preserve">4.2 Una volta trascorso l’eventuale termine previsto per l’esercizio del diritto di ripensamento da parte del Cliente finale, ovvero nei casi </w:t>
      </w:r>
      <w:proofErr w:type="gramStart"/>
      <w:r>
        <w:rPr>
          <w:lang w:bidi="it-IT"/>
        </w:rPr>
        <w:t>in  cui</w:t>
      </w:r>
      <w:proofErr w:type="gramEnd"/>
      <w:r>
        <w:rPr>
          <w:lang w:bidi="it-IT"/>
        </w:rPr>
        <w:t xml:space="preserve"> quest’ultimo richieda l’attivazione anticipata della fornitura ai sensi del successivo comma 5.4, il Fornitore esercita il recesso in nome e per</w:t>
      </w:r>
      <w:r w:rsidR="0079403B">
        <w:rPr>
          <w:lang w:bidi="it-IT"/>
        </w:rPr>
        <w:t xml:space="preserve"> conto del Cliente trasmettendo la relativa comunicazione al precedente Fornitore nei termini e con le modalità indicate dalla normativa vigente. Articolo 5. Diritto di ripensamento </w:t>
      </w:r>
    </w:p>
    <w:p w:rsidR="00590CC7" w:rsidRDefault="0079403B" w:rsidP="0079403B">
      <w:pPr>
        <w:pStyle w:val="testo"/>
        <w:spacing w:after="0"/>
        <w:jc w:val="both"/>
        <w:rPr>
          <w:lang w:bidi="it-IT"/>
        </w:rPr>
      </w:pPr>
      <w:r>
        <w:rPr>
          <w:lang w:bidi="it-IT"/>
        </w:rPr>
        <w:t>5.1 Qualora il Contratto sia stato concluso dal Cliente finale fuori dei locali commerciali del Fornitore o a distanza, il Cliente può recedere dal Contratto, senza oneri e senza dover fornire alcuna motivazione, entro 14 (quattordici) giorni decorrenti dalla data di conclusione del Contratto, secondo quanto previsto dal Codice del consumo, con una delle seguenti modalità, a propria scelta:</w:t>
      </w:r>
    </w:p>
    <w:p w:rsidR="0079403B" w:rsidRDefault="0079403B" w:rsidP="0079403B">
      <w:pPr>
        <w:pStyle w:val="testo"/>
        <w:spacing w:after="0"/>
        <w:jc w:val="both"/>
        <w:rPr>
          <w:lang w:bidi="it-IT"/>
        </w:rPr>
      </w:pPr>
      <w:r>
        <w:rPr>
          <w:lang w:bidi="it-IT"/>
        </w:rPr>
        <w:t>a) presentando una qualsiasi dichiarazione esplicita della sua decisione di recedere dal Contratto ai seguenti recapiti: via fax al numero 0374 341838 oppure via e-mail all’indirizzo contratti@auricaenergia.com o sul sito internet del Fornitore;</w:t>
      </w:r>
    </w:p>
    <w:p w:rsidR="0079403B" w:rsidRDefault="0079403B" w:rsidP="0079403B">
      <w:pPr>
        <w:pStyle w:val="testo"/>
        <w:spacing w:after="0"/>
        <w:jc w:val="both"/>
        <w:rPr>
          <w:lang w:bidi="it-IT"/>
        </w:rPr>
      </w:pPr>
      <w:r>
        <w:rPr>
          <w:lang w:bidi="it-IT"/>
        </w:rPr>
        <w:t>b) mediante invio del Modulo di ripensamento allegato al presente Contratto attraverso i canali indicati nel suddetto modulo.</w:t>
      </w:r>
    </w:p>
    <w:p w:rsidR="0079403B" w:rsidRDefault="0079403B" w:rsidP="0079403B">
      <w:pPr>
        <w:pStyle w:val="testo"/>
        <w:spacing w:after="0"/>
        <w:jc w:val="both"/>
        <w:rPr>
          <w:lang w:bidi="it-IT"/>
        </w:rPr>
      </w:pPr>
      <w:r>
        <w:rPr>
          <w:lang w:bidi="it-IT"/>
        </w:rPr>
        <w:t>5.2 L’onere della prova relativa all’esercizio del diritto di ripensamento conformemente al presente articolo incombe sul Cliente finale.</w:t>
      </w:r>
    </w:p>
    <w:p w:rsidR="0079403B" w:rsidRDefault="0079403B" w:rsidP="0079403B">
      <w:pPr>
        <w:pStyle w:val="testo"/>
        <w:spacing w:after="0"/>
        <w:jc w:val="both"/>
        <w:rPr>
          <w:lang w:bidi="it-IT"/>
        </w:rPr>
      </w:pPr>
      <w:r>
        <w:rPr>
          <w:lang w:bidi="it-IT"/>
        </w:rPr>
        <w:t>5.3 Durante il periodo previsto per l’esercizio del diritto di ripensamento il Contratto non avrà esecuzione, salvo che il Cliente finale richieda espressamente che le procedure per dar corso all’Attivazione della fornitura vengano avviate prima che sia decorso il termine per l’esercizio del diritto di ripensamento.</w:t>
      </w:r>
    </w:p>
    <w:p w:rsidR="0079403B" w:rsidRDefault="0079403B" w:rsidP="0079403B">
      <w:pPr>
        <w:pStyle w:val="testo"/>
        <w:spacing w:after="0"/>
        <w:jc w:val="both"/>
        <w:rPr>
          <w:lang w:bidi="it-IT"/>
        </w:rPr>
      </w:pPr>
      <w:r>
        <w:rPr>
          <w:lang w:bidi="it-IT"/>
        </w:rPr>
        <w:t>5.4 La richiesta di cui sopra non comporta in alcun caso per il Cliente finale la perdita del diritto di ripensamento.</w:t>
      </w:r>
    </w:p>
    <w:p w:rsidR="00C87BC2" w:rsidRDefault="0079403B" w:rsidP="003A179A">
      <w:pPr>
        <w:pStyle w:val="testo"/>
        <w:spacing w:after="0"/>
        <w:jc w:val="both"/>
        <w:rPr>
          <w:lang w:bidi="it-IT"/>
        </w:rPr>
      </w:pPr>
      <w:r>
        <w:rPr>
          <w:lang w:bidi="it-IT"/>
        </w:rPr>
        <w:t>5.5 Qualora il Cliente finale eserciti il diritto di ripensamento dopo aver chiesto l’avvio anticipato delle procedure di Attivazione della fornitura, e purché sia ancora possibile impedire l’Attivazione della medesima, il Fornitore può chiedere al Cliente finale un corrispettivo pari ai costi eventualmente sostenuti per le prestazioni effettuate dal Distributore ed un corrispettivo ulteriore massimo pari a 23,00 euro IVA esclusa. Qualora, al momento dell’esercizio del diritto di ripensamento, l’Attivazione della fornitura sia già avvenuta</w:t>
      </w:r>
      <w:r w:rsidR="003A179A">
        <w:rPr>
          <w:lang w:bidi="it-IT"/>
        </w:rPr>
        <w:t xml:space="preserve"> o non possa più essere impedita, il Cliente finale è tenuto altresì al pagamento dei </w:t>
      </w:r>
      <w:r w:rsidR="003A179A">
        <w:rPr>
          <w:lang w:bidi="it-IT"/>
        </w:rPr>
        <w:t>corrispettivi previsti dal Contratto sottoscritto, fino al momento di cessazione della fornitura stessa.</w:t>
      </w:r>
    </w:p>
    <w:p w:rsidR="0079403B" w:rsidRDefault="003A179A" w:rsidP="003A179A">
      <w:pPr>
        <w:pStyle w:val="testo"/>
        <w:spacing w:after="0"/>
        <w:jc w:val="both"/>
        <w:rPr>
          <w:lang w:bidi="it-IT"/>
        </w:rPr>
      </w:pPr>
      <w:r>
        <w:rPr>
          <w:lang w:bidi="it-IT"/>
        </w:rPr>
        <w:t>5.6 Le Parti prendono atto che:</w:t>
      </w:r>
    </w:p>
    <w:p w:rsidR="003A179A" w:rsidRDefault="003A179A" w:rsidP="003A179A">
      <w:pPr>
        <w:pStyle w:val="testo"/>
        <w:spacing w:after="0"/>
        <w:jc w:val="both"/>
        <w:rPr>
          <w:lang w:bidi="it-IT"/>
        </w:rPr>
      </w:pPr>
      <w:r>
        <w:rPr>
          <w:lang w:bidi="it-IT"/>
        </w:rPr>
        <w:t>a) se il Cliente finale esercita il diritto di ripensamento e non ha fatto precedentemente richiesta di avvio anticipato delle procedure di Attivazione della fornitura, la fornitura continua a essere garantita dal precedente Fornitore;</w:t>
      </w:r>
    </w:p>
    <w:p w:rsidR="003A179A" w:rsidRDefault="003A179A" w:rsidP="003A179A">
      <w:pPr>
        <w:pStyle w:val="testo"/>
        <w:spacing w:after="0"/>
        <w:jc w:val="both"/>
        <w:rPr>
          <w:lang w:bidi="it-IT"/>
        </w:rPr>
      </w:pPr>
      <w:r>
        <w:rPr>
          <w:lang w:bidi="it-IT"/>
        </w:rPr>
        <w:t>b) se il Cliente finale esercita il diritto di ripensamento avendo fatto richiesta di avvio anticipato delle procedure di Attivazione della fornitura ed essa sia già stata attivata o non sia più possibile impedirne l’attivazione, lo stesso Cliente finale può individuare un altro Fornitore o procedere alla richiesta di chiusura del Punto di fornitura, facendone espressa richiesta. In caso contrario, saranno attivati i Servizi di ultima istanza.</w:t>
      </w:r>
    </w:p>
    <w:p w:rsidR="003A179A" w:rsidRDefault="003A179A" w:rsidP="003A179A">
      <w:pPr>
        <w:pStyle w:val="testo"/>
        <w:spacing w:after="0"/>
        <w:jc w:val="both"/>
        <w:rPr>
          <w:lang w:bidi="it-IT"/>
        </w:rPr>
      </w:pPr>
      <w:r>
        <w:rPr>
          <w:lang w:bidi="it-IT"/>
        </w:rPr>
        <w:t>5.7 Nei casi di cui sopra, il Fornitore non sarà responsabile per eventuali disagi nella fornitura sofferti dal Cliente.</w:t>
      </w:r>
    </w:p>
    <w:p w:rsidR="003A179A" w:rsidRDefault="003A179A" w:rsidP="003A179A">
      <w:pPr>
        <w:pStyle w:val="testo"/>
        <w:spacing w:after="0"/>
        <w:jc w:val="both"/>
        <w:rPr>
          <w:lang w:bidi="it-IT"/>
        </w:rPr>
      </w:pPr>
      <w:r>
        <w:rPr>
          <w:lang w:bidi="it-IT"/>
        </w:rPr>
        <w:t>Articolo 6. Revoca della richiesta di switching per morosità del Cliente 6.1 Ai sensi della normativa vigente, qualora il Contratto di gas naturale sia concluso per cambio Fornitore, il nuovo Fornitore ha facoltà di revocare la richiesta di switching in base alle seguenti informazioni:</w:t>
      </w:r>
    </w:p>
    <w:p w:rsidR="00173FBF" w:rsidRDefault="00173FBF" w:rsidP="00173FBF">
      <w:pPr>
        <w:pStyle w:val="testo"/>
        <w:spacing w:after="0"/>
        <w:jc w:val="both"/>
        <w:rPr>
          <w:lang w:bidi="it-IT"/>
        </w:rPr>
      </w:pPr>
      <w:r>
        <w:rPr>
          <w:lang w:bidi="it-IT"/>
        </w:rPr>
        <w:t>a) se il Punto di fornitura risulta sospeso per morosità e, in caso affermativo, la data dell’eventuale sospensione della fornitura del punto medesimo;</w:t>
      </w:r>
    </w:p>
    <w:p w:rsidR="00173FBF" w:rsidRDefault="00173FBF" w:rsidP="00173FBF">
      <w:pPr>
        <w:pStyle w:val="testo"/>
        <w:spacing w:after="0"/>
        <w:jc w:val="both"/>
        <w:rPr>
          <w:lang w:bidi="it-IT"/>
        </w:rPr>
      </w:pPr>
      <w:proofErr w:type="gramStart"/>
      <w:r>
        <w:rPr>
          <w:lang w:bidi="it-IT"/>
        </w:rPr>
        <w:t>b)il</w:t>
      </w:r>
      <w:proofErr w:type="gramEnd"/>
      <w:r>
        <w:rPr>
          <w:lang w:bidi="it-IT"/>
        </w:rPr>
        <w:t xml:space="preserve"> mercato di provenienza del Punto di fornitura, distinguendo tra mercato libero e Servizi di ultima istanza;</w:t>
      </w:r>
    </w:p>
    <w:p w:rsidR="00173FBF" w:rsidRDefault="00173FBF" w:rsidP="00173FBF">
      <w:pPr>
        <w:pStyle w:val="testo"/>
        <w:spacing w:after="0"/>
        <w:jc w:val="both"/>
        <w:rPr>
          <w:lang w:bidi="it-IT"/>
        </w:rPr>
      </w:pPr>
      <w:r>
        <w:rPr>
          <w:lang w:bidi="it-IT"/>
        </w:rPr>
        <w:t>c)le date delle eventuali richieste di sospensione, oltre a quella eventualmente in corso, se presentate negli ultimi 12 mesi precedenti la data della richiesta di switching;</w:t>
      </w:r>
    </w:p>
    <w:p w:rsidR="00173FBF" w:rsidRDefault="00173FBF" w:rsidP="00173FBF">
      <w:pPr>
        <w:pStyle w:val="testo"/>
        <w:spacing w:after="0"/>
        <w:jc w:val="both"/>
        <w:rPr>
          <w:lang w:bidi="it-IT"/>
        </w:rPr>
      </w:pPr>
      <w:r>
        <w:rPr>
          <w:lang w:bidi="it-IT"/>
        </w:rPr>
        <w:t>d)le date delle eventuali richieste di switching, oltre a quella in corso, se eseguite negli ultimi 12 mesi precedenti la data della richiesta di switching;</w:t>
      </w:r>
    </w:p>
    <w:p w:rsidR="00173FBF" w:rsidRDefault="00173FBF" w:rsidP="00173FBF">
      <w:pPr>
        <w:pStyle w:val="testo"/>
        <w:spacing w:after="0"/>
        <w:jc w:val="both"/>
        <w:rPr>
          <w:lang w:bidi="it-IT"/>
        </w:rPr>
      </w:pPr>
      <w:r>
        <w:rPr>
          <w:lang w:bidi="it-IT"/>
        </w:rPr>
        <w:t>e) la data di attivazione del Servizio di default;</w:t>
      </w:r>
    </w:p>
    <w:p w:rsidR="00173FBF" w:rsidRDefault="00173FBF" w:rsidP="00173FBF">
      <w:pPr>
        <w:pStyle w:val="testo"/>
        <w:spacing w:after="0"/>
        <w:jc w:val="both"/>
        <w:rPr>
          <w:lang w:bidi="it-IT"/>
        </w:rPr>
      </w:pPr>
      <w:r>
        <w:rPr>
          <w:lang w:bidi="it-IT"/>
        </w:rPr>
        <w:t>f) l’accessibilità o meno del Punto di fornitura.</w:t>
      </w:r>
    </w:p>
    <w:p w:rsidR="00173FBF" w:rsidRDefault="00173FBF" w:rsidP="00173FBF">
      <w:pPr>
        <w:pStyle w:val="testo"/>
        <w:spacing w:after="0"/>
        <w:jc w:val="both"/>
        <w:rPr>
          <w:lang w:bidi="it-IT"/>
        </w:rPr>
      </w:pPr>
      <w:r>
        <w:rPr>
          <w:lang w:bidi="it-IT"/>
        </w:rPr>
        <w:t xml:space="preserve">6.2 In aggiunta a quanto disposto al precedente comma, il Fornitore può esercitare la predetta revoca qualora il Cliente eserciti il diritto di ripensamento successivamente alla presentazione, da parte del Fornitore, della richiesta di switching entro l’ultima data utile. </w:t>
      </w:r>
    </w:p>
    <w:p w:rsidR="00173FBF" w:rsidRDefault="00173FBF" w:rsidP="00173FBF">
      <w:pPr>
        <w:pStyle w:val="testo"/>
        <w:spacing w:after="0"/>
        <w:jc w:val="both"/>
        <w:rPr>
          <w:lang w:bidi="it-IT"/>
        </w:rPr>
      </w:pPr>
      <w:r>
        <w:rPr>
          <w:lang w:bidi="it-IT"/>
        </w:rPr>
        <w:t xml:space="preserve">6.3 Qualora il Fornitore intenda esercitare la facoltà di revocare la richiesta di switching, è tenuto a comunicare per iscritto al Cliente, entro il termine di 40 giorni dalla conclusione del Contratto, che il Contratto non avrà efficacia e sarà risolto di diritto. A seguito della comunicazione verranno altresì meno gli effetti del recesso dal Contratto con il precedente Fornitore. </w:t>
      </w:r>
    </w:p>
    <w:p w:rsidR="00173FBF" w:rsidRDefault="00173FBF" w:rsidP="00173FBF">
      <w:pPr>
        <w:pStyle w:val="testo"/>
        <w:spacing w:after="0"/>
        <w:jc w:val="both"/>
        <w:rPr>
          <w:lang w:bidi="it-IT"/>
        </w:rPr>
      </w:pPr>
      <w:r>
        <w:rPr>
          <w:lang w:bidi="it-IT"/>
        </w:rPr>
        <w:t xml:space="preserve">6.4 Superato il termine di cui al comma 6.3, in assenza della comunicazione del Fornitore, il Contratto avrà comunque efficacia </w:t>
      </w:r>
    </w:p>
    <w:p w:rsidR="004349F6" w:rsidRDefault="00173FBF" w:rsidP="00173FBF">
      <w:pPr>
        <w:pStyle w:val="testo"/>
        <w:spacing w:after="0"/>
        <w:jc w:val="both"/>
        <w:rPr>
          <w:lang w:bidi="it-IT"/>
        </w:rPr>
      </w:pPr>
      <w:r>
        <w:rPr>
          <w:lang w:bidi="it-IT"/>
        </w:rPr>
        <w:t>6.5 Qualora a seguito di una richiesta di attivazione della fornitura il Fornitore riceva dal Distributore la segnalazione di eventuali importi insoluti per effetto di precedenti interventi di interruzione della fornitura per morosità imputabile al Cliente finale con riferimento al Punto di fornitura oggetto del Contratto o di altro Punto di fornitura allacciato alle reti gestite dal medesimo Distributore, l’Attivazione della fornitura è subordinata al pagamento da parte del Fornitore degli importi evidenziati dal Distributore. In tali casi il Fornitore avrà comunque la facoltà di:</w:t>
      </w:r>
    </w:p>
    <w:p w:rsidR="00173FBF" w:rsidRDefault="00173FBF" w:rsidP="00173FBF">
      <w:pPr>
        <w:pStyle w:val="testo"/>
        <w:spacing w:after="0"/>
        <w:jc w:val="both"/>
        <w:rPr>
          <w:lang w:bidi="it-IT"/>
        </w:rPr>
      </w:pPr>
      <w:r>
        <w:rPr>
          <w:lang w:bidi="it-IT"/>
        </w:rPr>
        <w:t>a) ritirare la richiesta di switching per attivazione della fornitura entro 2 (due) giorni lavorativi dalla segnalazione da parte del Distributore;</w:t>
      </w:r>
    </w:p>
    <w:p w:rsidR="00173FBF" w:rsidRDefault="00173FBF" w:rsidP="00173FBF">
      <w:pPr>
        <w:pStyle w:val="testo"/>
        <w:spacing w:after="0"/>
        <w:jc w:val="both"/>
        <w:rPr>
          <w:lang w:bidi="it-IT"/>
        </w:rPr>
      </w:pPr>
      <w:r>
        <w:rPr>
          <w:lang w:bidi="it-IT"/>
        </w:rPr>
        <w:t>b) confermare la richiesta di switching, rivalendosi sul Cliente finale. Articolo 7. Conclusione dei contratti con il Distributore</w:t>
      </w:r>
    </w:p>
    <w:p w:rsidR="00173FBF" w:rsidRDefault="00173FBF" w:rsidP="00173FBF">
      <w:pPr>
        <w:pStyle w:val="testo"/>
        <w:spacing w:after="0"/>
        <w:jc w:val="both"/>
        <w:rPr>
          <w:lang w:bidi="it-IT"/>
        </w:rPr>
      </w:pPr>
      <w:r>
        <w:rPr>
          <w:lang w:bidi="it-IT"/>
        </w:rPr>
        <w:t>7.1 Ai fini dell’Articolo 2, il Fornitore chiede al Distributore, con riferimento al Punto di fornitura, l’accesso al servizio di distribuzione secondo quanto previsto dalla regolazione vigente.</w:t>
      </w:r>
    </w:p>
    <w:p w:rsidR="00173FBF" w:rsidRDefault="00173FBF" w:rsidP="00173FBF">
      <w:pPr>
        <w:pStyle w:val="testo"/>
        <w:spacing w:after="0"/>
        <w:jc w:val="both"/>
        <w:rPr>
          <w:lang w:bidi="it-IT"/>
        </w:rPr>
      </w:pPr>
      <w:r>
        <w:rPr>
          <w:lang w:bidi="it-IT"/>
        </w:rPr>
        <w:t>7.2 Il Cliente si impegna a prestare tutta la necessaria collaborazione a fornire e sottoscrivere tutti i documenti utili e necessari agli scopi di cui sopra.</w:t>
      </w:r>
    </w:p>
    <w:p w:rsidR="00173FBF" w:rsidRDefault="00173FBF" w:rsidP="00173FBF">
      <w:pPr>
        <w:pStyle w:val="testo"/>
        <w:spacing w:after="0"/>
        <w:jc w:val="both"/>
        <w:rPr>
          <w:lang w:bidi="it-IT"/>
        </w:rPr>
      </w:pPr>
      <w:r>
        <w:rPr>
          <w:lang w:bidi="it-IT"/>
        </w:rPr>
        <w:t xml:space="preserve">7.3 Il Cliente, ove applicabile, si impegna a sostenere tutti, nessuno escluso, gli oneri e costi derivanti dalla stipula ed esecuzione del contratto per il servizio di allacciamento e a tenere indenne il Fornitore in relazione a qualsiasi onere e costo derivante dall’esecuzione dei mandati conferiti con il presente Contratto. Articolo 8. Attivazione della fornitura </w:t>
      </w:r>
    </w:p>
    <w:p w:rsidR="00173FBF" w:rsidRDefault="00173FBF" w:rsidP="00173FBF">
      <w:pPr>
        <w:pStyle w:val="testo"/>
        <w:spacing w:after="0"/>
        <w:jc w:val="both"/>
        <w:rPr>
          <w:lang w:bidi="it-IT"/>
        </w:rPr>
      </w:pPr>
      <w:r>
        <w:rPr>
          <w:lang w:bidi="it-IT"/>
        </w:rPr>
        <w:t xml:space="preserve">8.1 L’Attivazione della fornitura, salvo diversa esplicita richiesta del Cliente finale, tranne nei casi in cui essa avvenga a seguito di voltura o nuova attivazione, ha luogo la prima data utile e comunque entro e non </w:t>
      </w:r>
      <w:proofErr w:type="gramStart"/>
      <w:r>
        <w:rPr>
          <w:lang w:bidi="it-IT"/>
        </w:rPr>
        <w:t>oltre  il</w:t>
      </w:r>
      <w:proofErr w:type="gramEnd"/>
      <w:r>
        <w:rPr>
          <w:lang w:bidi="it-IT"/>
        </w:rPr>
        <w:t xml:space="preserve"> primo giorno del terzo mese successivo a quello di conclusione del contratto. L’attivazione ha luogo nel temine indicato nella richiesta di fornitura.</w:t>
      </w:r>
    </w:p>
    <w:p w:rsidR="00173FBF" w:rsidRDefault="00173FBF" w:rsidP="00173FBF">
      <w:pPr>
        <w:pStyle w:val="testo"/>
        <w:spacing w:after="0"/>
        <w:jc w:val="both"/>
        <w:rPr>
          <w:lang w:bidi="it-IT"/>
        </w:rPr>
      </w:pPr>
      <w:r>
        <w:rPr>
          <w:lang w:bidi="it-IT"/>
        </w:rPr>
        <w:t>8.2 La data di Attivazione della fornitura deve essere evidenziata almeno nella prima fattura emessa dal Fornitore.</w:t>
      </w:r>
    </w:p>
    <w:p w:rsidR="00173FBF" w:rsidRDefault="00173FBF" w:rsidP="00173FBF">
      <w:pPr>
        <w:pStyle w:val="testo"/>
        <w:spacing w:after="0"/>
        <w:jc w:val="both"/>
        <w:rPr>
          <w:lang w:bidi="it-IT"/>
        </w:rPr>
      </w:pPr>
      <w:r>
        <w:rPr>
          <w:lang w:bidi="it-IT"/>
        </w:rPr>
        <w:lastRenderedPageBreak/>
        <w:t>8.3 Ove il Fornitore non fosse in grado, per cause a lui non imputabili, di dar corso all’Attivazione della fornitura nei termini sopra indicati, ne dà tempestiva comunicazione motivata al Cliente, indicando altresì la data prevista per l’Attivazione medesima.</w:t>
      </w:r>
    </w:p>
    <w:p w:rsidR="00173FBF" w:rsidRDefault="00173FBF" w:rsidP="00173FBF">
      <w:pPr>
        <w:pStyle w:val="testo"/>
        <w:spacing w:after="0"/>
        <w:jc w:val="both"/>
        <w:rPr>
          <w:lang w:bidi="it-IT"/>
        </w:rPr>
      </w:pPr>
      <w:r>
        <w:rPr>
          <w:lang w:bidi="it-IT"/>
        </w:rPr>
        <w:t>Articolo 9. Condizioni Economiche</w:t>
      </w:r>
    </w:p>
    <w:p w:rsidR="00173FBF" w:rsidRDefault="00173FBF" w:rsidP="00173FBF">
      <w:pPr>
        <w:pStyle w:val="testo"/>
        <w:spacing w:after="0"/>
        <w:jc w:val="both"/>
        <w:rPr>
          <w:lang w:bidi="it-IT"/>
        </w:rPr>
      </w:pPr>
      <w:r>
        <w:rPr>
          <w:lang w:bidi="it-IT"/>
        </w:rPr>
        <w:t>9.1 Le Condizioni economiche sono le condizioni di prezzo proposte al Cliente nell’ambito della presente Offerta PLACET, sono allegate al presente Contratto e ne costituiscono parte integrante. Esse sono accettate dal Cliente in fase di conclusione del Contratto.</w:t>
      </w:r>
    </w:p>
    <w:p w:rsidR="00173FBF" w:rsidRDefault="00173FBF" w:rsidP="00173FBF">
      <w:pPr>
        <w:pStyle w:val="testo"/>
        <w:spacing w:after="0"/>
        <w:jc w:val="both"/>
        <w:rPr>
          <w:lang w:bidi="it-IT"/>
        </w:rPr>
      </w:pPr>
      <w:r>
        <w:rPr>
          <w:lang w:bidi="it-IT"/>
        </w:rPr>
        <w:t>Articolo 10. Durata del contratto e recesso</w:t>
      </w:r>
    </w:p>
    <w:p w:rsidR="00173FBF" w:rsidRDefault="00173FBF" w:rsidP="00173FBF">
      <w:pPr>
        <w:pStyle w:val="testo"/>
        <w:spacing w:after="0"/>
        <w:jc w:val="both"/>
        <w:rPr>
          <w:lang w:bidi="it-IT"/>
        </w:rPr>
      </w:pPr>
      <w:r>
        <w:rPr>
          <w:lang w:bidi="it-IT"/>
        </w:rPr>
        <w:t>10.1 Il Contratto è a tempo indeterminato.</w:t>
      </w:r>
    </w:p>
    <w:p w:rsidR="00173FBF" w:rsidRDefault="00173FBF" w:rsidP="00173FBF">
      <w:pPr>
        <w:pStyle w:val="testo"/>
        <w:spacing w:after="0"/>
        <w:jc w:val="both"/>
        <w:rPr>
          <w:lang w:bidi="it-IT"/>
        </w:rPr>
      </w:pPr>
      <w:r>
        <w:rPr>
          <w:lang w:bidi="it-IT"/>
        </w:rPr>
        <w:t xml:space="preserve">10.2 Le Condizioni economiche si applicano a decorrere dalla </w:t>
      </w:r>
      <w:proofErr w:type="gramStart"/>
      <w:r>
        <w:rPr>
          <w:lang w:bidi="it-IT"/>
        </w:rPr>
        <w:t>data  di</w:t>
      </w:r>
      <w:proofErr w:type="gramEnd"/>
      <w:r>
        <w:rPr>
          <w:lang w:bidi="it-IT"/>
        </w:rPr>
        <w:t xml:space="preserve"> Attivazione della fornitura e hanno durata di 12 (dodici) mesi dall’Attivazione della fornitura.</w:t>
      </w:r>
    </w:p>
    <w:p w:rsidR="00173FBF" w:rsidRDefault="00173FBF" w:rsidP="00173FBF">
      <w:pPr>
        <w:pStyle w:val="testo"/>
        <w:spacing w:after="0"/>
        <w:jc w:val="both"/>
        <w:rPr>
          <w:lang w:bidi="it-IT"/>
        </w:rPr>
      </w:pPr>
      <w:r>
        <w:rPr>
          <w:lang w:bidi="it-IT"/>
        </w:rPr>
        <w:t xml:space="preserve">10.3 Trascorsi i 12 mesi di cui al comma 10.2 il Fornitore procede al rinnovo della stessa tipologia di offerta fissa o variabile mediante invio al Cliente di una comunicazione in forma scritta recante il prezzo che sarà applicato al termine dei 12 mesi, con un preavviso non inferiore a 3 (tre) mesi rispetto alla decorrenza </w:t>
      </w:r>
      <w:r w:rsidR="00C87BC2">
        <w:rPr>
          <w:lang w:bidi="it-IT"/>
        </w:rPr>
        <w:t xml:space="preserve"> </w:t>
      </w:r>
      <w:r>
        <w:rPr>
          <w:lang w:bidi="it-IT"/>
        </w:rPr>
        <w:t xml:space="preserve">delle nuove condizioni economiche, considerandosi decorrente il suddetto termine dal primo giorno del mese successivo a quello di ricevimento di tale comunicazione da parte del cliente stesso. Il rinnovo delle condizioni economiche non comporta alcuna variazione della tipologia di offerta oggetto del presente Contratto. Il prezzo proposto per il rinnovo della presente Offerta, è pari al prezzo previsto dall’offerta PLACET commercializzata dal Fornitore nel momento in cui viene effettuata la comunicazione. Resta salva la facoltà del Cliente di esercitare il recesso dal Contratto con le modalità e nei termini indicati nella predetta comunicazione. In assenza di recesso da parte del Cliente le nuove condizioni economiche si considerano accettate. </w:t>
      </w:r>
    </w:p>
    <w:p w:rsidR="00173FBF" w:rsidRDefault="00173FBF" w:rsidP="00173FBF">
      <w:pPr>
        <w:pStyle w:val="testo"/>
        <w:spacing w:after="0"/>
        <w:jc w:val="both"/>
        <w:rPr>
          <w:lang w:bidi="it-IT"/>
        </w:rPr>
      </w:pPr>
      <w:r>
        <w:rPr>
          <w:lang w:bidi="it-IT"/>
        </w:rPr>
        <w:t xml:space="preserve">10.4 La comunicazione di cui al precedente comma 10.3 non sarà trasmessa all’interno della fattura o con- giuntamente a essa. Fatta salva prova contraria, la suddetta comunicazione si presume ricevuta trascorsi 10 (dieci) giorni dall’invio effettuato da parte del Fornitore. </w:t>
      </w:r>
    </w:p>
    <w:p w:rsidR="00173FBF" w:rsidRDefault="00173FBF" w:rsidP="00173FBF">
      <w:pPr>
        <w:pStyle w:val="testo"/>
        <w:spacing w:after="0"/>
        <w:jc w:val="both"/>
        <w:rPr>
          <w:lang w:bidi="it-IT"/>
        </w:rPr>
      </w:pPr>
      <w:r>
        <w:rPr>
          <w:lang w:bidi="it-IT"/>
        </w:rPr>
        <w:t xml:space="preserve">10.5 Qualora il Fornitore non effettui tempestivamente la comunicazione di cui al comma 10.3, si applica, per i 12 mesi successivi, il prezzo minore tra quello previsto dalle Condizioni economiche in scadenza e quello previsto dall’offerta PLACET applicabile al Cliente e commercializzata dal Fornitore alla data di scadenza delle precedenti Condizioni economiche. Ai fini del calcolo del prezzo di cui al presente comma, il venditore utilizza il consumo annuo, così come definito nella disciplina della Bolletta 2.0. </w:t>
      </w:r>
    </w:p>
    <w:p w:rsidR="00173FBF" w:rsidRDefault="00173FBF" w:rsidP="00173FBF">
      <w:pPr>
        <w:pStyle w:val="testo"/>
        <w:spacing w:after="0"/>
        <w:jc w:val="both"/>
        <w:rPr>
          <w:lang w:bidi="it-IT"/>
        </w:rPr>
      </w:pPr>
      <w:r>
        <w:rPr>
          <w:lang w:bidi="it-IT"/>
        </w:rPr>
        <w:t xml:space="preserve">10.6 Nei casi di inadempimento agli obblighi di comunicazione di cui ai commi 10.3 e 10.4 e qualora il prezzo di cui al comma 10.5 sia diverso da quello previsto dalle Condizioni economiche in scadenza, il Cliente finale ha diritto ad un indennizzo automatico pari a 30 euro. </w:t>
      </w:r>
    </w:p>
    <w:p w:rsidR="00173FBF" w:rsidRDefault="00173FBF" w:rsidP="00173FBF">
      <w:pPr>
        <w:pStyle w:val="testo"/>
        <w:spacing w:after="0"/>
        <w:jc w:val="both"/>
        <w:rPr>
          <w:lang w:bidi="it-IT"/>
        </w:rPr>
      </w:pPr>
      <w:r>
        <w:rPr>
          <w:lang w:bidi="it-IT"/>
        </w:rPr>
        <w:t xml:space="preserve">10.7 Ciascuna Parte ha facoltà di recedere unilateralmente e senza oneri dal Contratto dandone comunica- zione all’altra Parte. </w:t>
      </w:r>
    </w:p>
    <w:p w:rsidR="00173FBF" w:rsidRDefault="00173FBF" w:rsidP="00173FBF">
      <w:pPr>
        <w:pStyle w:val="testo"/>
        <w:spacing w:after="0"/>
        <w:jc w:val="both"/>
        <w:rPr>
          <w:lang w:bidi="it-IT"/>
        </w:rPr>
      </w:pPr>
      <w:r>
        <w:rPr>
          <w:lang w:bidi="it-IT"/>
        </w:rPr>
        <w:t xml:space="preserve">10.8 Il Cliente, nel caso in cui intenda cambiare Fornitore, può recedere in qualsiasi momento e senza oneri dal Contratto per cambiare Fornitore, rilasciando al nuovo Fornitore, in occasione della stipula del nuovo contratto, apposito mandato a recedere, per suo conto e in suo nome, dal Contratto in essere con il Fornitore mediante invio di apposita comunicazione al Fornitore entro e non oltre il giorno 10 (dieci) del mese precedente la data di cambio fornitura </w:t>
      </w:r>
    </w:p>
    <w:p w:rsidR="00173FBF" w:rsidRDefault="00173FBF" w:rsidP="00173FBF">
      <w:pPr>
        <w:pStyle w:val="testo"/>
        <w:spacing w:after="0"/>
        <w:jc w:val="both"/>
        <w:rPr>
          <w:lang w:bidi="it-IT"/>
        </w:rPr>
      </w:pPr>
      <w:r>
        <w:rPr>
          <w:lang w:bidi="it-IT"/>
        </w:rPr>
        <w:t xml:space="preserve">10.9 Il Fornitore garantirà la fornitura fino alla data di efficacia del recesso, a partire dal quale avrà decorrenza la nuova fornitura. Il Cliente è tenuto al pagamento degli importi dovuti ai sensi del presente Contratto in virtù della fornitura prestata fino alla data di efficacia del recesso. </w:t>
      </w:r>
    </w:p>
    <w:p w:rsidR="00173FBF" w:rsidRDefault="00173FBF" w:rsidP="00173FBF">
      <w:pPr>
        <w:pStyle w:val="testo"/>
        <w:spacing w:after="0"/>
        <w:jc w:val="both"/>
        <w:rPr>
          <w:lang w:bidi="it-IT"/>
        </w:rPr>
      </w:pPr>
      <w:r>
        <w:rPr>
          <w:lang w:bidi="it-IT"/>
        </w:rPr>
        <w:t xml:space="preserve">10.10 Nel caso in cui il Cliente intenda recedere senza il fine di cambiare Fornitore ma ai fini della cessa- zione della fornitura, o per altre motivazioni, il termine di preavviso per l’esercizio del diritto di recesso non può essere superiore a 1 (un) mese decorrente dalla data di ricevimento della comunicazione di recesso da parte del Fornitore. In tale ipotesi il Cliente recede dal Contratto secondo le seguenti modalità: via mail all’indirizzo contratti@auricaenergia.com oppure presso gli sportelli commerciali. 10.11 Nel caso in cui il Cliente intenda recedere per cessare la fornitura e non renda possibile la rilevazione finale dei consumi e/o neghi l’accesso per la chiusura del misuratore, lo stesso sarà tenuto al pagamento di tutti i consumi e di ogni altro importo connesso all’esecuzione della cessazione della fornitura. In caso </w:t>
      </w:r>
    </w:p>
    <w:p w:rsidR="00173FBF" w:rsidRDefault="00173FBF" w:rsidP="00173FBF">
      <w:pPr>
        <w:pStyle w:val="testo"/>
        <w:spacing w:after="0"/>
        <w:jc w:val="both"/>
        <w:rPr>
          <w:lang w:bidi="it-IT"/>
        </w:rPr>
      </w:pPr>
      <w:r>
        <w:rPr>
          <w:lang w:bidi="it-IT"/>
        </w:rPr>
        <w:t xml:space="preserve">di negato accesso al misuratore di gas naturale, per indisponibilità del Cliente, il Distributore è tenuto ad effettuare fino a 3 (tre) tentativi di disattivazione, in seguito ai quali il Fornitore si riserva di richiedere l’interruzione dell’alimentazione del Punto di fornitura con oneri a carico del Cliente. Gli </w:t>
      </w:r>
      <w:r>
        <w:rPr>
          <w:lang w:bidi="it-IT"/>
        </w:rPr>
        <w:t xml:space="preserve">importi dovuti in relazione a eventuali prelievi di gas naturale effettuati tra la data di cessazione della fornitura così come comunicata dal Cliente e l’eventuale intervento di </w:t>
      </w:r>
      <w:proofErr w:type="spellStart"/>
      <w:r>
        <w:rPr>
          <w:lang w:bidi="it-IT"/>
        </w:rPr>
        <w:t>disalimentazione</w:t>
      </w:r>
      <w:proofErr w:type="spellEnd"/>
      <w:r>
        <w:rPr>
          <w:lang w:bidi="it-IT"/>
        </w:rPr>
        <w:t xml:space="preserve"> del Punto di fornitura da parte del Distributore saranno comunque posti a carico del Cliente </w:t>
      </w:r>
    </w:p>
    <w:p w:rsidR="00173FBF" w:rsidRDefault="00173FBF" w:rsidP="00173FBF">
      <w:pPr>
        <w:pStyle w:val="testo"/>
        <w:spacing w:after="0"/>
        <w:jc w:val="both"/>
        <w:rPr>
          <w:lang w:bidi="it-IT"/>
        </w:rPr>
      </w:pPr>
      <w:r>
        <w:rPr>
          <w:lang w:bidi="it-IT"/>
        </w:rPr>
        <w:t xml:space="preserve">10.12 Il Fornitore può recedere con un preavviso non inferiore a 6 (sei) mesi, con una comunicazione scritta e con modalità tali da permettere la verifica dell’effettiva ricezione. Tale preavviso decorre dalla data di ricevimento della comunicazione di recesso da parte del Cliente finale. Articolo 11. Fatturazione Disposizioni generali </w:t>
      </w:r>
    </w:p>
    <w:p w:rsidR="00173FBF" w:rsidRDefault="00173FBF" w:rsidP="00173FBF">
      <w:pPr>
        <w:pStyle w:val="testo"/>
        <w:spacing w:after="0"/>
        <w:jc w:val="both"/>
        <w:rPr>
          <w:lang w:bidi="it-IT"/>
        </w:rPr>
      </w:pPr>
      <w:r>
        <w:rPr>
          <w:lang w:bidi="it-IT"/>
        </w:rPr>
        <w:t xml:space="preserve">11.1 La quantificazione dei consumi di gas naturale avviene sulla base dei dati di consumo registrati dal misuratore. I dati di misura sono utilizzati per il computo dei consumi contabilizzati in fattura con l’ordine indicato al comma 11.19. Nel caso in cui sia installato un gruppo di misura non dotato di apparecchiatura per la correzione delle misure alle condizioni standard, la correzione a fini tariffari dei volumi misurati avverrà in base al valore del coefficiente C applicabile. </w:t>
      </w:r>
    </w:p>
    <w:p w:rsidR="00173FBF" w:rsidRDefault="00173FBF" w:rsidP="00173FBF">
      <w:pPr>
        <w:pStyle w:val="testo"/>
        <w:spacing w:after="0"/>
        <w:jc w:val="both"/>
        <w:rPr>
          <w:lang w:bidi="it-IT"/>
        </w:rPr>
      </w:pPr>
      <w:r>
        <w:rPr>
          <w:lang w:bidi="it-IT"/>
        </w:rPr>
        <w:t xml:space="preserve">11.2 Il Cliente ha la facoltà di comunicare l’autolettura con le modalità e le tempistiche indicate in fattura dal Fornitore. </w:t>
      </w:r>
    </w:p>
    <w:p w:rsidR="00173FBF" w:rsidRDefault="00173FBF" w:rsidP="00173FBF">
      <w:pPr>
        <w:pStyle w:val="testo"/>
        <w:spacing w:after="0"/>
        <w:jc w:val="both"/>
        <w:rPr>
          <w:lang w:bidi="it-IT"/>
        </w:rPr>
      </w:pPr>
      <w:r>
        <w:rPr>
          <w:lang w:bidi="it-IT"/>
        </w:rPr>
        <w:t xml:space="preserve">11.3 Le fatture consistono nella “bolletta sintetica” redatta con le modalità di cui alla Bolletta 2.0, che costituisce fattura ai fini della normativa fiscale, e negli elementi di dettaglio, che sono disponibili al Cliente che ne faccia richiesta esplicita secondo le modalità descritte nelle CGF </w:t>
      </w:r>
    </w:p>
    <w:p w:rsidR="00173FBF" w:rsidRDefault="00173FBF" w:rsidP="00173FBF">
      <w:pPr>
        <w:pStyle w:val="testo"/>
        <w:spacing w:after="0"/>
        <w:jc w:val="both"/>
        <w:rPr>
          <w:lang w:bidi="it-IT"/>
        </w:rPr>
      </w:pPr>
      <w:r>
        <w:rPr>
          <w:lang w:bidi="it-IT"/>
        </w:rPr>
        <w:t xml:space="preserve">11.4 Al fine di agevolare il Cliente nella comprensione della bolletta, il Fornitore rende disponibile sul sito internet www.auricaenergia.com una “Guida alla lettura delle voci di spesa” per l’offerta PLACET di cui al presente Contratto, recante una descrizione completa delle singole voci che compongono gli importi fatturati; il Cliente può altresì richiedere la “Guida alla lettura delle voci di spesa” attraverso gli sportelli territoriali. 11.5 Le fatture sono emesse in formato elettronico, salvo che il Cliente chieda di ricevere le fatture in formato cartaceo. </w:t>
      </w:r>
    </w:p>
    <w:p w:rsidR="00173FBF" w:rsidRDefault="00173FBF" w:rsidP="00173FBF">
      <w:pPr>
        <w:pStyle w:val="testo"/>
        <w:spacing w:after="0"/>
        <w:jc w:val="both"/>
        <w:rPr>
          <w:lang w:bidi="it-IT"/>
        </w:rPr>
      </w:pPr>
      <w:r>
        <w:rPr>
          <w:lang w:bidi="it-IT"/>
        </w:rPr>
        <w:t xml:space="preserve">11.6 Le fatture emesse in formato elettronico sono rese disponibili al Cliente tramite “Sportello Online” e/o e-mail. </w:t>
      </w:r>
    </w:p>
    <w:p w:rsidR="00173FBF" w:rsidRDefault="00173FBF" w:rsidP="00173FBF">
      <w:pPr>
        <w:pStyle w:val="testo"/>
        <w:spacing w:after="0"/>
        <w:jc w:val="both"/>
        <w:rPr>
          <w:lang w:bidi="it-IT"/>
        </w:rPr>
      </w:pPr>
      <w:r>
        <w:rPr>
          <w:lang w:bidi="it-IT"/>
        </w:rPr>
        <w:t xml:space="preserve">11.7 Al Cliente che scelga di ricevere la fattura in formato cartaceo, anche in un momento successivo alla data di decorrenza del Contratto, non può essere applicato alcun onere aggiuntivo. </w:t>
      </w:r>
    </w:p>
    <w:p w:rsidR="00173FBF" w:rsidRDefault="00173FBF" w:rsidP="00173FBF">
      <w:pPr>
        <w:pStyle w:val="testo"/>
        <w:spacing w:after="0"/>
        <w:jc w:val="both"/>
        <w:rPr>
          <w:lang w:bidi="it-IT"/>
        </w:rPr>
      </w:pPr>
      <w:r>
        <w:rPr>
          <w:lang w:bidi="it-IT"/>
        </w:rPr>
        <w:t xml:space="preserve">11.8 Al cliente che non richiede la fattura in formato cartaceo, e che opti per la domiciliazione bancaria, postale o su carta di credito dei pagamenti è applicato uno sconto in fattura. </w:t>
      </w:r>
    </w:p>
    <w:p w:rsidR="00173FBF" w:rsidRDefault="00173FBF" w:rsidP="00173FBF">
      <w:pPr>
        <w:pStyle w:val="testo"/>
        <w:spacing w:after="0"/>
        <w:jc w:val="both"/>
        <w:rPr>
          <w:lang w:bidi="it-IT"/>
        </w:rPr>
      </w:pPr>
      <w:r>
        <w:rPr>
          <w:lang w:bidi="it-IT"/>
        </w:rPr>
        <w:t xml:space="preserve">11.9 L’importo dello sconto di cui al comma 11.8 è riportato come di seguito: Clienti finali domestici di gas naturale euro/Punto di fornitura/ anno-5,40; Condominio con uso domestico euro/Punto di fornitura/anno -12,00; </w:t>
      </w:r>
    </w:p>
    <w:p w:rsidR="00173FBF" w:rsidRDefault="00173FBF" w:rsidP="00173FBF">
      <w:pPr>
        <w:pStyle w:val="testo"/>
        <w:spacing w:after="0"/>
        <w:jc w:val="both"/>
        <w:rPr>
          <w:lang w:bidi="it-IT"/>
        </w:rPr>
      </w:pPr>
      <w:r>
        <w:rPr>
          <w:lang w:bidi="it-IT"/>
        </w:rPr>
        <w:t>11.10 Le modalità di applicazione dello sconto di cui al comma 11.8 sono stabilite in conformità alla disciplina della Bolletta 2.0.</w:t>
      </w:r>
    </w:p>
    <w:p w:rsidR="00173FBF" w:rsidRDefault="00173FBF" w:rsidP="00173FBF">
      <w:pPr>
        <w:pStyle w:val="testo"/>
        <w:spacing w:after="0"/>
        <w:jc w:val="both"/>
        <w:rPr>
          <w:lang w:bidi="it-IT"/>
        </w:rPr>
      </w:pPr>
      <w:r>
        <w:rPr>
          <w:lang w:bidi="it-IT"/>
        </w:rPr>
        <w:t>11.11 Il Fornitore si riserva la facoltà di non richiedere il pagamento per importi complessivamente inferiori a 10,00 euro; tali somme verranno richieste insieme agli importi della successiva fattura.</w:t>
      </w:r>
    </w:p>
    <w:p w:rsidR="00173FBF" w:rsidRDefault="00173FBF" w:rsidP="00173FBF">
      <w:pPr>
        <w:pStyle w:val="testo"/>
        <w:spacing w:after="0"/>
        <w:jc w:val="both"/>
        <w:rPr>
          <w:lang w:bidi="it-IT"/>
        </w:rPr>
      </w:pPr>
      <w:r>
        <w:rPr>
          <w:lang w:bidi="it-IT"/>
        </w:rPr>
        <w:t xml:space="preserve">11.12 Nei casi in cui il Cliente vanti un credito nei confronti del Fornitore per importi complessivamente inferiori a 100,00 euro, è riconosciuta la facoltà al Fornitore di riportare e/o compensare i suddetti crediti nella fattura successiva; in tale ipotesi il Fornitore informa il Cliente </w:t>
      </w:r>
      <w:proofErr w:type="gramStart"/>
      <w:r>
        <w:rPr>
          <w:lang w:bidi="it-IT"/>
        </w:rPr>
        <w:t>finale  con</w:t>
      </w:r>
      <w:proofErr w:type="gramEnd"/>
      <w:r>
        <w:rPr>
          <w:lang w:bidi="it-IT"/>
        </w:rPr>
        <w:t xml:space="preserve"> apposita comunicazione trasmessa all’interno della fattura ovvero congiuntamente alla stessa.</w:t>
      </w:r>
    </w:p>
    <w:p w:rsidR="00173FBF" w:rsidRDefault="00173FBF" w:rsidP="00173FBF">
      <w:pPr>
        <w:pStyle w:val="testo"/>
        <w:spacing w:after="0"/>
        <w:jc w:val="both"/>
        <w:rPr>
          <w:lang w:bidi="it-IT"/>
        </w:rPr>
      </w:pPr>
      <w:r>
        <w:rPr>
          <w:lang w:bidi="it-IT"/>
        </w:rPr>
        <w:t>11.13 Il Cliente è tenuto ad effettuare il pagamento dovuto entro il termine non inferiore a 20 giorni dalla data di emissione della fattura.</w:t>
      </w:r>
    </w:p>
    <w:p w:rsidR="00173FBF" w:rsidRDefault="00173FBF" w:rsidP="00173FBF">
      <w:pPr>
        <w:pStyle w:val="testo"/>
        <w:spacing w:after="0"/>
        <w:jc w:val="both"/>
        <w:rPr>
          <w:lang w:bidi="it-IT"/>
        </w:rPr>
      </w:pPr>
      <w:r>
        <w:rPr>
          <w:lang w:bidi="it-IT"/>
        </w:rPr>
        <w:t>11.14 Il Cliente finale è tenuto altresì a effettuare il pagamento degli importi dovuti ai sensi dell’articolo 2.3. in relazione a fatture emesse e non pagate all’esercente i servizi di ultima istanza di energia elettrica o gas, oggetto cessione del credito al Fornitore.</w:t>
      </w:r>
    </w:p>
    <w:p w:rsidR="00173FBF" w:rsidRDefault="00173FBF" w:rsidP="00173FBF">
      <w:pPr>
        <w:pStyle w:val="testo"/>
        <w:spacing w:after="0"/>
        <w:jc w:val="both"/>
        <w:rPr>
          <w:lang w:bidi="it-IT"/>
        </w:rPr>
      </w:pPr>
      <w:r>
        <w:rPr>
          <w:lang w:bidi="it-IT"/>
        </w:rPr>
        <w:t xml:space="preserve">11.15 Le modalità di pagamento disponibili al Cliente, di cui una gratuita, sono le seguenti: bollettino MAV e addebito SEPA. Tali modalità sono indicate in fattura. In nessun caso sono previsti addebiti in fattura di oneri o corrispettivi a favore del Fornitore in relazione alla modalità di pagamento prescelta dal Cliente. </w:t>
      </w:r>
    </w:p>
    <w:p w:rsidR="00173FBF" w:rsidRDefault="00173FBF" w:rsidP="00173FBF">
      <w:pPr>
        <w:pStyle w:val="testo"/>
        <w:spacing w:after="0"/>
        <w:jc w:val="both"/>
        <w:rPr>
          <w:lang w:bidi="it-IT"/>
        </w:rPr>
      </w:pPr>
      <w:r>
        <w:rPr>
          <w:lang w:bidi="it-IT"/>
        </w:rPr>
        <w:t>11.16 Ai fini del computo dei consumi contabilizzati in fattura, il Fornitore è tenuto a utilizzare, nel seguente ordine:</w:t>
      </w:r>
    </w:p>
    <w:p w:rsidR="00173FBF" w:rsidRDefault="00173FBF" w:rsidP="00173FBF">
      <w:pPr>
        <w:pStyle w:val="testo"/>
        <w:spacing w:after="0"/>
        <w:jc w:val="both"/>
        <w:rPr>
          <w:lang w:bidi="it-IT"/>
        </w:rPr>
      </w:pPr>
      <w:r>
        <w:rPr>
          <w:lang w:bidi="it-IT"/>
        </w:rPr>
        <w:t>a) i dati di misura effettivi messi a disposizione dal Distributore;</w:t>
      </w:r>
    </w:p>
    <w:p w:rsidR="00173FBF" w:rsidRDefault="00173FBF" w:rsidP="00173FBF">
      <w:pPr>
        <w:pStyle w:val="testo"/>
        <w:spacing w:after="0"/>
        <w:jc w:val="both"/>
        <w:rPr>
          <w:lang w:bidi="it-IT"/>
        </w:rPr>
      </w:pPr>
      <w:r>
        <w:rPr>
          <w:lang w:bidi="it-IT"/>
        </w:rPr>
        <w:t>b) le autoletture comunicate dal Cliente – con le modalità e le tempistiche indicate in fattura – e validate dal Distributore;</w:t>
      </w:r>
    </w:p>
    <w:p w:rsidR="00173FBF" w:rsidRDefault="00173FBF" w:rsidP="00173FBF">
      <w:pPr>
        <w:pStyle w:val="testo"/>
        <w:spacing w:after="0"/>
        <w:jc w:val="both"/>
        <w:rPr>
          <w:lang w:bidi="it-IT"/>
        </w:rPr>
      </w:pPr>
      <w:r>
        <w:rPr>
          <w:lang w:bidi="it-IT"/>
        </w:rPr>
        <w:t>c) i dati di misura stimati, come messi a disposizione dal Distributore ovvero stimati dal Fornitore. In caso di stima propria, il Fornitore determina il dato di misura stimato sulla base dei consumi storici effettivi del Cliente, secondo il criterio dei profili di prelievo pubblicati da ARERA.</w:t>
      </w:r>
    </w:p>
    <w:p w:rsidR="00173FBF" w:rsidRDefault="00173FBF" w:rsidP="00173FBF">
      <w:pPr>
        <w:pStyle w:val="testo"/>
        <w:spacing w:after="0"/>
        <w:jc w:val="both"/>
        <w:rPr>
          <w:lang w:bidi="it-IT"/>
        </w:rPr>
      </w:pPr>
      <w:r w:rsidRPr="00173FBF">
        <w:rPr>
          <w:lang w:bidi="it-IT"/>
        </w:rPr>
        <w:t xml:space="preserve">11.17 In caso di variazioni dei corrispettivi applicabili alla fornitura intervenuti all’interno di un dato periodo, la ripartizione dei consumi avviene su base </w:t>
      </w:r>
      <w:r w:rsidRPr="00173FBF">
        <w:rPr>
          <w:lang w:bidi="it-IT"/>
        </w:rPr>
        <w:lastRenderedPageBreak/>
        <w:t>giornaliera considerando costante il consumo nei periodi che intercorrono tra una lettura rilevata, stimata o autolettura e l’altra.</w:t>
      </w:r>
    </w:p>
    <w:p w:rsidR="00173FBF" w:rsidRDefault="00173FBF" w:rsidP="00173FBF">
      <w:pPr>
        <w:pStyle w:val="testo"/>
        <w:spacing w:after="0"/>
        <w:jc w:val="both"/>
        <w:rPr>
          <w:lang w:bidi="it-IT"/>
        </w:rPr>
      </w:pPr>
      <w:r w:rsidRPr="00173FBF">
        <w:rPr>
          <w:lang w:bidi="it-IT"/>
        </w:rPr>
        <w:t>Fatturazione di periodo</w:t>
      </w:r>
    </w:p>
    <w:p w:rsidR="00173FBF" w:rsidRDefault="00173FBF" w:rsidP="00F769E7">
      <w:pPr>
        <w:pStyle w:val="testo"/>
        <w:spacing w:after="120"/>
        <w:jc w:val="both"/>
        <w:rPr>
          <w:lang w:bidi="it-IT"/>
        </w:rPr>
      </w:pPr>
      <w:r w:rsidRPr="00173FBF">
        <w:rPr>
          <w:lang w:bidi="it-IT"/>
        </w:rPr>
        <w:t>11.18</w:t>
      </w:r>
      <w:r>
        <w:rPr>
          <w:lang w:bidi="it-IT"/>
        </w:rPr>
        <w:t xml:space="preserve"> </w:t>
      </w:r>
      <w:r w:rsidRPr="00173FBF">
        <w:rPr>
          <w:lang w:bidi="it-IT"/>
        </w:rPr>
        <w:t>La Fattura di periodo è emessa con la seguente frequenza:</w:t>
      </w:r>
    </w:p>
    <w:p w:rsidR="004D4F8A" w:rsidRDefault="004D4F8A" w:rsidP="00C87BC2">
      <w:pPr>
        <w:pStyle w:val="testo"/>
        <w:spacing w:after="60"/>
        <w:jc w:val="both"/>
        <w:rPr>
          <w:b/>
          <w:bCs/>
          <w:lang w:bidi="it-IT"/>
        </w:rPr>
      </w:pPr>
      <w:r w:rsidRPr="004D4F8A">
        <w:rPr>
          <w:b/>
          <w:bCs/>
          <w:lang w:bidi="it-IT"/>
        </w:rPr>
        <w:t>GAS NATURALE</w:t>
      </w:r>
    </w:p>
    <w:tbl>
      <w:tblPr>
        <w:tblStyle w:val="Grigliatabella"/>
        <w:tblW w:w="0" w:type="auto"/>
        <w:tblLook w:val="04A0" w:firstRow="1" w:lastRow="0" w:firstColumn="1" w:lastColumn="0" w:noHBand="0" w:noVBand="1"/>
      </w:tblPr>
      <w:tblGrid>
        <w:gridCol w:w="2434"/>
        <w:gridCol w:w="2435"/>
      </w:tblGrid>
      <w:tr w:rsidR="007B44D0" w:rsidTr="0088140F">
        <w:tc>
          <w:tcPr>
            <w:tcW w:w="4869" w:type="dxa"/>
            <w:gridSpan w:val="2"/>
          </w:tcPr>
          <w:p w:rsidR="007B44D0" w:rsidRDefault="007B44D0" w:rsidP="00173FBF">
            <w:pPr>
              <w:pStyle w:val="testo"/>
              <w:jc w:val="both"/>
              <w:rPr>
                <w:b/>
                <w:bCs/>
                <w:lang w:bidi="it-IT"/>
              </w:rPr>
            </w:pPr>
            <w:r w:rsidRPr="007B44D0">
              <w:rPr>
                <w:b/>
                <w:bCs/>
                <w:lang w:bidi="it-IT"/>
              </w:rPr>
              <w:t>Punti di fornitura in cui non è obbligatoria la lettura mensile con dettaglio giornaliero</w:t>
            </w:r>
          </w:p>
        </w:tc>
      </w:tr>
      <w:tr w:rsidR="007B44D0" w:rsidTr="007B44D0">
        <w:tc>
          <w:tcPr>
            <w:tcW w:w="2434" w:type="dxa"/>
          </w:tcPr>
          <w:p w:rsidR="007B44D0" w:rsidRDefault="007B44D0" w:rsidP="00173FBF">
            <w:pPr>
              <w:pStyle w:val="testo"/>
              <w:jc w:val="both"/>
              <w:rPr>
                <w:b/>
                <w:bCs/>
                <w:lang w:bidi="it-IT"/>
              </w:rPr>
            </w:pPr>
            <w:r w:rsidRPr="007B44D0">
              <w:rPr>
                <w:b/>
                <w:bCs/>
                <w:lang w:bidi="it-IT"/>
              </w:rPr>
              <w:t>Tipologia di clienti</w:t>
            </w:r>
          </w:p>
        </w:tc>
        <w:tc>
          <w:tcPr>
            <w:tcW w:w="2435" w:type="dxa"/>
          </w:tcPr>
          <w:p w:rsidR="007B44D0" w:rsidRDefault="007B44D0" w:rsidP="00173FBF">
            <w:pPr>
              <w:pStyle w:val="testo"/>
              <w:jc w:val="both"/>
              <w:rPr>
                <w:b/>
                <w:bCs/>
                <w:lang w:bidi="it-IT"/>
              </w:rPr>
            </w:pPr>
            <w:r w:rsidRPr="007B44D0">
              <w:rPr>
                <w:b/>
                <w:bCs/>
                <w:lang w:bidi="it-IT"/>
              </w:rPr>
              <w:t>Frequenza emissione fatture</w:t>
            </w:r>
          </w:p>
        </w:tc>
      </w:tr>
      <w:tr w:rsidR="007B44D0" w:rsidTr="007B44D0">
        <w:tc>
          <w:tcPr>
            <w:tcW w:w="2434" w:type="dxa"/>
          </w:tcPr>
          <w:p w:rsidR="007B44D0" w:rsidRPr="00F769E7" w:rsidRDefault="00F769E7" w:rsidP="00173FBF">
            <w:pPr>
              <w:pStyle w:val="testo"/>
              <w:jc w:val="both"/>
              <w:rPr>
                <w:lang w:bidi="it-IT"/>
              </w:rPr>
            </w:pPr>
            <w:r w:rsidRPr="00F769E7">
              <w:rPr>
                <w:lang w:bidi="it-IT"/>
              </w:rPr>
              <w:t xml:space="preserve">Inferiore a 500 </w:t>
            </w:r>
            <w:proofErr w:type="spellStart"/>
            <w:r w:rsidRPr="00F769E7">
              <w:rPr>
                <w:lang w:bidi="it-IT"/>
              </w:rPr>
              <w:t>Smc</w:t>
            </w:r>
            <w:proofErr w:type="spellEnd"/>
            <w:r w:rsidRPr="00F769E7">
              <w:rPr>
                <w:lang w:bidi="it-IT"/>
              </w:rPr>
              <w:t>/anno</w:t>
            </w:r>
          </w:p>
        </w:tc>
        <w:tc>
          <w:tcPr>
            <w:tcW w:w="2435" w:type="dxa"/>
          </w:tcPr>
          <w:p w:rsidR="007B44D0" w:rsidRPr="00F769E7" w:rsidRDefault="00F769E7" w:rsidP="00173FBF">
            <w:pPr>
              <w:pStyle w:val="testo"/>
              <w:jc w:val="both"/>
              <w:rPr>
                <w:lang w:bidi="it-IT"/>
              </w:rPr>
            </w:pPr>
            <w:r w:rsidRPr="00F769E7">
              <w:rPr>
                <w:lang w:bidi="it-IT"/>
              </w:rPr>
              <w:t>Almeno quadrimestrale</w:t>
            </w:r>
          </w:p>
        </w:tc>
      </w:tr>
      <w:tr w:rsidR="007B44D0" w:rsidTr="007B44D0">
        <w:tc>
          <w:tcPr>
            <w:tcW w:w="2434" w:type="dxa"/>
          </w:tcPr>
          <w:p w:rsidR="007B44D0" w:rsidRPr="00F769E7" w:rsidRDefault="00F769E7" w:rsidP="00173FBF">
            <w:pPr>
              <w:pStyle w:val="testo"/>
              <w:jc w:val="both"/>
              <w:rPr>
                <w:lang w:bidi="it-IT"/>
              </w:rPr>
            </w:pPr>
            <w:r w:rsidRPr="00F769E7">
              <w:rPr>
                <w:lang w:bidi="it-IT"/>
              </w:rPr>
              <w:t xml:space="preserve">Tra 500 e 1.500 </w:t>
            </w:r>
            <w:proofErr w:type="spellStart"/>
            <w:r w:rsidRPr="00F769E7">
              <w:rPr>
                <w:lang w:bidi="it-IT"/>
              </w:rPr>
              <w:t>Smc</w:t>
            </w:r>
            <w:proofErr w:type="spellEnd"/>
            <w:r w:rsidRPr="00F769E7">
              <w:rPr>
                <w:lang w:bidi="it-IT"/>
              </w:rPr>
              <w:t>/anno</w:t>
            </w:r>
          </w:p>
        </w:tc>
        <w:tc>
          <w:tcPr>
            <w:tcW w:w="2435" w:type="dxa"/>
          </w:tcPr>
          <w:p w:rsidR="007B44D0" w:rsidRPr="00F769E7" w:rsidRDefault="00F769E7" w:rsidP="00173FBF">
            <w:pPr>
              <w:pStyle w:val="testo"/>
              <w:jc w:val="both"/>
              <w:rPr>
                <w:lang w:bidi="it-IT"/>
              </w:rPr>
            </w:pPr>
            <w:r w:rsidRPr="00F769E7">
              <w:rPr>
                <w:lang w:bidi="it-IT"/>
              </w:rPr>
              <w:t>Bimestrale</w:t>
            </w:r>
          </w:p>
        </w:tc>
      </w:tr>
      <w:tr w:rsidR="007B44D0" w:rsidTr="007B44D0">
        <w:tc>
          <w:tcPr>
            <w:tcW w:w="2434" w:type="dxa"/>
          </w:tcPr>
          <w:p w:rsidR="007B44D0" w:rsidRPr="00F769E7" w:rsidRDefault="00F769E7" w:rsidP="00173FBF">
            <w:pPr>
              <w:pStyle w:val="testo"/>
              <w:jc w:val="both"/>
              <w:rPr>
                <w:lang w:bidi="it-IT"/>
              </w:rPr>
            </w:pPr>
            <w:r w:rsidRPr="00F769E7">
              <w:rPr>
                <w:lang w:bidi="it-IT"/>
              </w:rPr>
              <w:t xml:space="preserve">Tra 1.500 e 5.000 </w:t>
            </w:r>
            <w:proofErr w:type="spellStart"/>
            <w:r w:rsidRPr="00F769E7">
              <w:rPr>
                <w:lang w:bidi="it-IT"/>
              </w:rPr>
              <w:t>Smc</w:t>
            </w:r>
            <w:proofErr w:type="spellEnd"/>
            <w:r w:rsidRPr="00F769E7">
              <w:rPr>
                <w:lang w:bidi="it-IT"/>
              </w:rPr>
              <w:t>/anno</w:t>
            </w:r>
          </w:p>
        </w:tc>
        <w:tc>
          <w:tcPr>
            <w:tcW w:w="2435" w:type="dxa"/>
          </w:tcPr>
          <w:p w:rsidR="007B44D0" w:rsidRPr="00F769E7" w:rsidRDefault="00F769E7" w:rsidP="00173FBF">
            <w:pPr>
              <w:pStyle w:val="testo"/>
              <w:jc w:val="both"/>
              <w:rPr>
                <w:lang w:bidi="it-IT"/>
              </w:rPr>
            </w:pPr>
            <w:r w:rsidRPr="00F769E7">
              <w:rPr>
                <w:lang w:bidi="it-IT"/>
              </w:rPr>
              <w:t>Bimestrale</w:t>
            </w:r>
          </w:p>
        </w:tc>
      </w:tr>
      <w:tr w:rsidR="007B44D0" w:rsidTr="007B44D0">
        <w:tc>
          <w:tcPr>
            <w:tcW w:w="2434" w:type="dxa"/>
          </w:tcPr>
          <w:p w:rsidR="007B44D0" w:rsidRPr="00F769E7" w:rsidRDefault="00F769E7" w:rsidP="00F769E7">
            <w:pPr>
              <w:pStyle w:val="testo"/>
              <w:rPr>
                <w:lang w:bidi="it-IT"/>
              </w:rPr>
            </w:pPr>
            <w:r w:rsidRPr="00F769E7">
              <w:rPr>
                <w:lang w:bidi="it-IT"/>
              </w:rPr>
              <w:t xml:space="preserve">Uguale o superiore a 5.000 </w:t>
            </w:r>
            <w:proofErr w:type="spellStart"/>
            <w:r w:rsidRPr="00F769E7">
              <w:rPr>
                <w:lang w:bidi="it-IT"/>
              </w:rPr>
              <w:t>Smc</w:t>
            </w:r>
            <w:proofErr w:type="spellEnd"/>
            <w:r w:rsidRPr="00F769E7">
              <w:rPr>
                <w:lang w:bidi="it-IT"/>
              </w:rPr>
              <w:t>/anno</w:t>
            </w:r>
          </w:p>
        </w:tc>
        <w:tc>
          <w:tcPr>
            <w:tcW w:w="2435" w:type="dxa"/>
          </w:tcPr>
          <w:p w:rsidR="007B44D0" w:rsidRPr="00F769E7" w:rsidRDefault="00F769E7" w:rsidP="00173FBF">
            <w:pPr>
              <w:pStyle w:val="testo"/>
              <w:jc w:val="both"/>
              <w:rPr>
                <w:lang w:bidi="it-IT"/>
              </w:rPr>
            </w:pPr>
            <w:r w:rsidRPr="00F769E7">
              <w:rPr>
                <w:lang w:bidi="it-IT"/>
              </w:rPr>
              <w:t>Mensile</w:t>
            </w:r>
          </w:p>
        </w:tc>
      </w:tr>
      <w:tr w:rsidR="00F769E7" w:rsidTr="000E4748">
        <w:tc>
          <w:tcPr>
            <w:tcW w:w="4869" w:type="dxa"/>
            <w:gridSpan w:val="2"/>
          </w:tcPr>
          <w:p w:rsidR="00F769E7" w:rsidRDefault="00F769E7" w:rsidP="00173FBF">
            <w:pPr>
              <w:pStyle w:val="testo"/>
              <w:jc w:val="both"/>
              <w:rPr>
                <w:b/>
                <w:bCs/>
                <w:lang w:bidi="it-IT"/>
              </w:rPr>
            </w:pPr>
            <w:r w:rsidRPr="00F769E7">
              <w:rPr>
                <w:b/>
                <w:bCs/>
                <w:lang w:bidi="it-IT"/>
              </w:rPr>
              <w:t>Punti di fornitura in cui è obbligatoria la lettura mensile con dettaglio giornaliero</w:t>
            </w:r>
          </w:p>
        </w:tc>
      </w:tr>
      <w:tr w:rsidR="007B44D0" w:rsidTr="007B44D0">
        <w:tc>
          <w:tcPr>
            <w:tcW w:w="2434" w:type="dxa"/>
          </w:tcPr>
          <w:p w:rsidR="007B44D0" w:rsidRPr="00F769E7" w:rsidRDefault="00F769E7" w:rsidP="00173FBF">
            <w:pPr>
              <w:pStyle w:val="testo"/>
              <w:jc w:val="both"/>
              <w:rPr>
                <w:lang w:bidi="it-IT"/>
              </w:rPr>
            </w:pPr>
            <w:r w:rsidRPr="00F769E7">
              <w:rPr>
                <w:lang w:bidi="it-IT"/>
              </w:rPr>
              <w:t>Qualsiasi livello di consumo</w:t>
            </w:r>
          </w:p>
        </w:tc>
        <w:tc>
          <w:tcPr>
            <w:tcW w:w="2435" w:type="dxa"/>
          </w:tcPr>
          <w:p w:rsidR="007B44D0" w:rsidRPr="00F769E7" w:rsidRDefault="00F769E7" w:rsidP="00173FBF">
            <w:pPr>
              <w:pStyle w:val="testo"/>
              <w:jc w:val="both"/>
              <w:rPr>
                <w:lang w:bidi="it-IT"/>
              </w:rPr>
            </w:pPr>
            <w:r w:rsidRPr="00F769E7">
              <w:rPr>
                <w:lang w:bidi="it-IT"/>
              </w:rPr>
              <w:t>Mensile</w:t>
            </w:r>
          </w:p>
        </w:tc>
      </w:tr>
    </w:tbl>
    <w:p w:rsidR="004D4F8A" w:rsidRDefault="004D4F8A" w:rsidP="00173FBF">
      <w:pPr>
        <w:pStyle w:val="testo"/>
        <w:spacing w:after="0"/>
        <w:jc w:val="both"/>
        <w:rPr>
          <w:b/>
          <w:bCs/>
          <w:lang w:bidi="it-IT"/>
        </w:rPr>
      </w:pPr>
    </w:p>
    <w:p w:rsidR="00F87B65" w:rsidRDefault="00F87B65" w:rsidP="00173FBF">
      <w:pPr>
        <w:pStyle w:val="testo"/>
        <w:spacing w:after="0"/>
        <w:jc w:val="both"/>
        <w:rPr>
          <w:lang w:bidi="it-IT"/>
        </w:rPr>
      </w:pPr>
      <w:r w:rsidRPr="00F87B65">
        <w:rPr>
          <w:lang w:bidi="it-IT"/>
        </w:rPr>
        <w:t>11.19 La Fattura di periodo è emessa entro 45 giorni solari dalla data dell’ultimo giorno di consumo addebitato nella medesima. In caso di emissione della Fattura di periodo oltre tale termine, il Fornitore riconosce, in occasione della prima fattura utile, un indennizzo automatico al Cliente finale. Il valore del predetto indennizzo è pari a:</w:t>
      </w:r>
    </w:p>
    <w:p w:rsidR="00F87B65" w:rsidRDefault="00F87B65" w:rsidP="00F87B65">
      <w:pPr>
        <w:pStyle w:val="testo"/>
        <w:spacing w:after="0"/>
        <w:jc w:val="both"/>
        <w:rPr>
          <w:lang w:bidi="it-IT"/>
        </w:rPr>
      </w:pPr>
      <w:r>
        <w:rPr>
          <w:lang w:bidi="it-IT"/>
        </w:rPr>
        <w:t>a) 6 euro nel caso in cui la Fattura di periodo sia emessa con un ritardo fino a 10 (dieci) giorni solari successivi al termine massimo di emissione di cui sopra;</w:t>
      </w:r>
    </w:p>
    <w:p w:rsidR="00F87B65" w:rsidRDefault="00F87B65" w:rsidP="00F87B65">
      <w:pPr>
        <w:pStyle w:val="testo"/>
        <w:spacing w:after="0"/>
        <w:jc w:val="both"/>
        <w:rPr>
          <w:lang w:bidi="it-IT"/>
        </w:rPr>
      </w:pPr>
      <w:r>
        <w:rPr>
          <w:lang w:bidi="it-IT"/>
        </w:rPr>
        <w:t>b) l’importo di cui alla precedente lettera a) maggiorato di 2 euro ogni 5 (cinque) giorni solari ulteriori di ritardo, fino ad un massimo di 20 euro, per ritardi fino a 45 (quarantacinque) giorni solari dal termine massimo di emissione di cui sopra.</w:t>
      </w:r>
    </w:p>
    <w:p w:rsidR="00F87B65" w:rsidRDefault="00F87B65" w:rsidP="00F87B65">
      <w:pPr>
        <w:pStyle w:val="testo"/>
        <w:spacing w:after="0"/>
        <w:jc w:val="both"/>
        <w:rPr>
          <w:lang w:bidi="it-IT"/>
        </w:rPr>
      </w:pPr>
      <w:r>
        <w:rPr>
          <w:lang w:bidi="it-IT"/>
        </w:rPr>
        <w:t>Tale importo è, altresì modificato in ragione di un ritardo ulteriore ed è pari a:</w:t>
      </w:r>
    </w:p>
    <w:p w:rsidR="00F87B65" w:rsidRDefault="00F87B65" w:rsidP="00F87B65">
      <w:pPr>
        <w:pStyle w:val="testo"/>
        <w:spacing w:after="0"/>
        <w:jc w:val="both"/>
        <w:rPr>
          <w:lang w:bidi="it-IT"/>
        </w:rPr>
      </w:pPr>
      <w:r>
        <w:rPr>
          <w:lang w:bidi="it-IT"/>
        </w:rPr>
        <w:t>a) 40 euro se l’emissione della Fattura di periodo avviene in un tempo compreso tra 46 (quarantasei) e 90 (novanta) giorni solari dal termine massimo di emissione di cui sopra;</w:t>
      </w:r>
    </w:p>
    <w:p w:rsidR="00F87B65" w:rsidRDefault="00F87B65" w:rsidP="00F87B65">
      <w:pPr>
        <w:pStyle w:val="testo"/>
        <w:spacing w:after="0"/>
        <w:jc w:val="both"/>
        <w:rPr>
          <w:lang w:bidi="it-IT"/>
        </w:rPr>
      </w:pPr>
      <w:r>
        <w:rPr>
          <w:lang w:bidi="it-IT"/>
        </w:rPr>
        <w:t>b) 60 euro se l’emissione della Fattura di periodo avviene in un tempo superiore a 90 (novanta) giorni solari dal termine massimo di emissione di cui sopra.</w:t>
      </w:r>
    </w:p>
    <w:p w:rsidR="00F87B65" w:rsidRDefault="00F87B65" w:rsidP="00F87B65">
      <w:pPr>
        <w:pStyle w:val="testo"/>
        <w:spacing w:after="0"/>
        <w:jc w:val="both"/>
        <w:rPr>
          <w:lang w:bidi="it-IT"/>
        </w:rPr>
      </w:pPr>
      <w:r>
        <w:rPr>
          <w:lang w:bidi="it-IT"/>
        </w:rPr>
        <w:t>11.20 Il Fornitore informa il Cliente dell’esito negativo del tentativo di lettura e delle sue conseguenze con le seguenti modalità:</w:t>
      </w:r>
    </w:p>
    <w:p w:rsidR="00F87B65" w:rsidRDefault="00F87B65" w:rsidP="00F87B65">
      <w:pPr>
        <w:pStyle w:val="testo"/>
        <w:spacing w:after="0"/>
        <w:jc w:val="both"/>
        <w:rPr>
          <w:lang w:bidi="it-IT"/>
        </w:rPr>
      </w:pPr>
      <w:r>
        <w:rPr>
          <w:lang w:bidi="it-IT"/>
        </w:rPr>
        <w:t xml:space="preserve">11.21 In caso di mancata lettura del </w:t>
      </w:r>
      <w:proofErr w:type="spellStart"/>
      <w:proofErr w:type="gramStart"/>
      <w:r>
        <w:rPr>
          <w:lang w:bidi="it-IT"/>
        </w:rPr>
        <w:t>misuratore,a</w:t>
      </w:r>
      <w:proofErr w:type="spellEnd"/>
      <w:proofErr w:type="gramEnd"/>
      <w:r>
        <w:rPr>
          <w:lang w:bidi="it-IT"/>
        </w:rPr>
        <w:t xml:space="preserve"> causa di tentativo lettura, non </w:t>
      </w:r>
      <w:proofErr w:type="spellStart"/>
      <w:r>
        <w:rPr>
          <w:lang w:bidi="it-IT"/>
        </w:rPr>
        <w:t>andatoa</w:t>
      </w:r>
      <w:proofErr w:type="spellEnd"/>
      <w:r>
        <w:rPr>
          <w:lang w:bidi="it-IT"/>
        </w:rPr>
        <w:t xml:space="preserve"> buon fine,  entro i limiti previsti dalla regolazione, per i Punti di fornitura dotati di misuratore accessibile, il Cliente ha diritto a ricevere un indennizzo automatico a carico del Distributore per il tramite del Fornitore pari a 35 euro.</w:t>
      </w:r>
    </w:p>
    <w:p w:rsidR="00F87B65" w:rsidRDefault="00F87B65" w:rsidP="00F87B65">
      <w:pPr>
        <w:pStyle w:val="testo"/>
        <w:spacing w:after="0"/>
        <w:jc w:val="both"/>
        <w:rPr>
          <w:lang w:bidi="it-IT"/>
        </w:rPr>
      </w:pPr>
      <w:r>
        <w:rPr>
          <w:lang w:bidi="it-IT"/>
        </w:rPr>
        <w:t>Fatturazione di chiusura</w:t>
      </w:r>
    </w:p>
    <w:p w:rsidR="00F87B65" w:rsidRDefault="00F87B65" w:rsidP="00F87B65">
      <w:pPr>
        <w:pStyle w:val="testo"/>
        <w:spacing w:after="0"/>
        <w:jc w:val="both"/>
        <w:rPr>
          <w:lang w:bidi="it-IT"/>
        </w:rPr>
      </w:pPr>
      <w:r>
        <w:rPr>
          <w:lang w:bidi="it-IT"/>
        </w:rPr>
        <w:t>11.22 La Fattura di chiusura è recapitata al Cliente entro 6 (sei) settimane decorrenti dal giorno di cessazione della fornitura. A tal fine essa è emessa entro il secondo giorno solare precedente lo scadere di tale periodo.   In caso di fatture in formato cartaceo, il termine per l’emissione è pari all’ottavo giorno solare precedente il termine di 6 (sei) settimane per il recapito</w:t>
      </w:r>
    </w:p>
    <w:p w:rsidR="00F87B65" w:rsidRDefault="00F87B65" w:rsidP="00F87B65">
      <w:pPr>
        <w:pStyle w:val="testo"/>
        <w:spacing w:after="0"/>
        <w:jc w:val="both"/>
        <w:rPr>
          <w:lang w:bidi="it-IT"/>
        </w:rPr>
      </w:pPr>
      <w:r>
        <w:rPr>
          <w:lang w:bidi="it-IT"/>
        </w:rPr>
        <w:t>11.23 In caso di mancato rispetto da parte del Fornitore della tempistica di emissione di cui al comma 11.22, il Fornitore riconosce, nella medesima Fattura di chiusura, un indennizzo automatico pari a:</w:t>
      </w:r>
    </w:p>
    <w:p w:rsidR="00F87B65" w:rsidRDefault="00F87B65" w:rsidP="00F87B65">
      <w:pPr>
        <w:pStyle w:val="testo"/>
        <w:spacing w:after="0"/>
        <w:jc w:val="both"/>
        <w:rPr>
          <w:lang w:bidi="it-IT"/>
        </w:rPr>
      </w:pPr>
      <w:r>
        <w:rPr>
          <w:lang w:bidi="it-IT"/>
        </w:rPr>
        <w:t xml:space="preserve">a) 4 euro, nel caso in cui la fattura sia emessa con un ritardo fino a 10 (dieci) giorni solari successivi al termine massimo di emissione di cui al comma11.22; </w:t>
      </w:r>
    </w:p>
    <w:p w:rsidR="00BA1816" w:rsidRDefault="00F87B65" w:rsidP="00BA1816">
      <w:pPr>
        <w:pStyle w:val="testo"/>
        <w:spacing w:after="0"/>
        <w:jc w:val="both"/>
        <w:rPr>
          <w:lang w:bidi="it-IT"/>
        </w:rPr>
      </w:pPr>
      <w:r>
        <w:rPr>
          <w:lang w:bidi="it-IT"/>
        </w:rPr>
        <w:t>b) l’importo di cui alla precedente lettera a) maggiorato di 2 euro ogni 10 (dieci) giorni solari di ulteriore ritardo, fino a un massimo di 22 euro per</w:t>
      </w:r>
      <w:r w:rsidR="00BA1816">
        <w:rPr>
          <w:lang w:bidi="it-IT"/>
        </w:rPr>
        <w:t xml:space="preserve"> ritardi fino a 90 (novanta) giorni solari successivi al termine massimo di emissione di cui al comma 11.22. </w:t>
      </w:r>
    </w:p>
    <w:p w:rsidR="00BA1816" w:rsidRDefault="00BA1816" w:rsidP="00BA1816">
      <w:pPr>
        <w:pStyle w:val="testo"/>
        <w:spacing w:after="0"/>
        <w:jc w:val="both"/>
        <w:rPr>
          <w:lang w:bidi="it-IT"/>
        </w:rPr>
      </w:pPr>
      <w:r>
        <w:rPr>
          <w:lang w:bidi="it-IT"/>
        </w:rPr>
        <w:t xml:space="preserve">11.24 Nei casi in cui il Distributore metta a disposizione al Fornitore i dati di misura funzionali alla cessazione della fornitura, ad esclusione del cambio Fornitore diverso da switching, decorso un tempo superiore a 30 (trenta) giorni dalla cessazione della fornitura, il Cliente finale ha diritto ad un indennizzo automatico a carico del Distributore per il tramite del Fornitore di ammontare pari a 35 euro. </w:t>
      </w:r>
    </w:p>
    <w:p w:rsidR="00BA1816" w:rsidRDefault="00BA1816" w:rsidP="00BA1816">
      <w:pPr>
        <w:pStyle w:val="testo"/>
        <w:spacing w:after="0"/>
        <w:jc w:val="both"/>
        <w:rPr>
          <w:lang w:bidi="it-IT"/>
        </w:rPr>
      </w:pPr>
      <w:r>
        <w:rPr>
          <w:lang w:bidi="it-IT"/>
        </w:rPr>
        <w:t xml:space="preserve">Articolo 12. Rateizzazione </w:t>
      </w:r>
    </w:p>
    <w:p w:rsidR="00F87B65" w:rsidRDefault="00BA1816" w:rsidP="00BA1816">
      <w:pPr>
        <w:pStyle w:val="testo"/>
        <w:spacing w:after="0"/>
        <w:jc w:val="both"/>
        <w:rPr>
          <w:lang w:bidi="it-IT"/>
        </w:rPr>
      </w:pPr>
      <w:r>
        <w:rPr>
          <w:lang w:bidi="it-IT"/>
        </w:rPr>
        <w:t>12.1 Il Fornitore informa il Cliente della possibilità di rateizzazione, segnalandone altresì la facoltà all’interno della fattura relativa al pagamento rateizzabile, nei seguenti casi:</w:t>
      </w:r>
    </w:p>
    <w:p w:rsidR="00BA1816" w:rsidRDefault="00BA1816" w:rsidP="00BA1816">
      <w:pPr>
        <w:pStyle w:val="testo"/>
        <w:spacing w:after="0"/>
        <w:jc w:val="both"/>
        <w:rPr>
          <w:lang w:bidi="it-IT"/>
        </w:rPr>
      </w:pPr>
      <w:r>
        <w:rPr>
          <w:lang w:bidi="it-IT"/>
        </w:rPr>
        <w:t>i. per i Clienti per i quali la periodicità di fatturazione non è mensile qualora la fattura contenente ricalcoli relativi a casi diversi di cui ai successivi punti</w:t>
      </w:r>
    </w:p>
    <w:p w:rsidR="00BA1816" w:rsidRDefault="00BA1816" w:rsidP="00BA1816">
      <w:pPr>
        <w:pStyle w:val="testo"/>
        <w:spacing w:after="0"/>
        <w:jc w:val="both"/>
        <w:rPr>
          <w:lang w:bidi="it-IT"/>
        </w:rPr>
      </w:pPr>
      <w:r>
        <w:rPr>
          <w:lang w:bidi="it-IT"/>
        </w:rPr>
        <w:t xml:space="preserve">ii. e iii. sia superiore al doppio dell’addebito più elevato fatturato nelle fatture emesse sulla base di consumi stimati ricevute successivamente alla precedente fattura contenente ricalcoli, salvo il caso in cui la differenza fra l’addebito </w:t>
      </w:r>
      <w:r>
        <w:rPr>
          <w:lang w:bidi="it-IT"/>
        </w:rPr>
        <w:t>fatturato nella fattura contenente il ricalcolo e gli addebiti fatturati nelle fatture emesse sulla base di consumi stimati sia attribuibile esclusivamente alla variazione stagionale dei consumi;</w:t>
      </w:r>
    </w:p>
    <w:p w:rsidR="002C6CC4" w:rsidRDefault="002C6CC4" w:rsidP="002C6CC4">
      <w:pPr>
        <w:pStyle w:val="testo"/>
        <w:spacing w:after="0"/>
        <w:jc w:val="both"/>
        <w:rPr>
          <w:lang w:bidi="it-IT"/>
        </w:rPr>
      </w:pPr>
      <w:r>
        <w:rPr>
          <w:lang w:bidi="it-IT"/>
        </w:rPr>
        <w:t>ii. per tutti i Clienti ai quali, a seguito di malfunzionamento del gruppo di misura per causa non imputabile al Cliente, venga richiesto il pagamento di corrispettivi per consumi non registrati dal gruppo di misura, a eccezione dei casi accertati dal Distributore di manomissione del gruppo di misura;</w:t>
      </w:r>
    </w:p>
    <w:p w:rsidR="002C6CC4" w:rsidRDefault="002C6CC4" w:rsidP="002C6CC4">
      <w:pPr>
        <w:pStyle w:val="testo"/>
        <w:spacing w:after="0"/>
        <w:jc w:val="both"/>
        <w:rPr>
          <w:lang w:bidi="it-IT"/>
        </w:rPr>
      </w:pPr>
      <w:r>
        <w:rPr>
          <w:lang w:bidi="it-IT"/>
        </w:rPr>
        <w:t>iii. per i Clienti con un gruppo di misura accessibile a cui, a causa di una o più mancate letture, sia richiesto il pagamento di importi ricalcolati sulla base di consumi effettivi;</w:t>
      </w:r>
    </w:p>
    <w:p w:rsidR="002C6CC4" w:rsidRDefault="002C6CC4" w:rsidP="002C6CC4">
      <w:pPr>
        <w:pStyle w:val="testo"/>
        <w:spacing w:after="0"/>
        <w:jc w:val="both"/>
        <w:rPr>
          <w:lang w:bidi="it-IT"/>
        </w:rPr>
      </w:pPr>
      <w:r>
        <w:rPr>
          <w:lang w:bidi="it-IT"/>
        </w:rPr>
        <w:t xml:space="preserve">iv. per tutti i Clienti, limitatamente ai punti con consumi annui complessivamente inferiori a 200.000 </w:t>
      </w:r>
      <w:proofErr w:type="spellStart"/>
      <w:r>
        <w:rPr>
          <w:lang w:bidi="it-IT"/>
        </w:rPr>
        <w:t>Smc</w:t>
      </w:r>
      <w:proofErr w:type="spellEnd"/>
      <w:r>
        <w:rPr>
          <w:lang w:bidi="it-IT"/>
        </w:rPr>
        <w:t xml:space="preserve">, nei casi di mancato rispetto, anche episodico, della periodicità di fatturazione indicata all’Articolo 11; v. per tutti i Clienti, limitatamente ai punti con consumi annui complessivamente inferiori a 200.000 </w:t>
      </w:r>
      <w:proofErr w:type="spellStart"/>
      <w:r>
        <w:rPr>
          <w:lang w:bidi="it-IT"/>
        </w:rPr>
        <w:t>Smc</w:t>
      </w:r>
      <w:proofErr w:type="spellEnd"/>
      <w:r>
        <w:rPr>
          <w:lang w:bidi="it-IT"/>
        </w:rPr>
        <w:t>, nei casi di fatturazione di importi anomali, di cui all’articolo 9, comma 9.2, del TIQV non già previsti dalle precedenti lettere.</w:t>
      </w:r>
    </w:p>
    <w:p w:rsidR="00BA1816" w:rsidRDefault="002C6CC4" w:rsidP="002C6CC4">
      <w:pPr>
        <w:pStyle w:val="testo"/>
        <w:spacing w:after="0"/>
        <w:jc w:val="both"/>
        <w:rPr>
          <w:lang w:bidi="it-IT"/>
        </w:rPr>
      </w:pPr>
      <w:r>
        <w:rPr>
          <w:lang w:bidi="it-IT"/>
        </w:rPr>
        <w:t>12.2 Il Cliente finale può richiedere la rateizzazione solo per somme superiori a 50 euro, entro i 10 (dieci) giorni successivi dal termine fissato per il pagamento della fattura, secondo le modalità indicate nella fattura 12.3 La rateizzazione si attua secondo le seguenti modalità:</w:t>
      </w:r>
    </w:p>
    <w:p w:rsidR="00245773" w:rsidRDefault="00245773" w:rsidP="002C6CC4">
      <w:pPr>
        <w:pStyle w:val="testo"/>
        <w:spacing w:after="0"/>
        <w:jc w:val="both"/>
        <w:rPr>
          <w:lang w:bidi="it-IT"/>
        </w:rPr>
      </w:pPr>
      <w:r w:rsidRPr="00245773">
        <w:rPr>
          <w:lang w:bidi="it-IT"/>
        </w:rPr>
        <w:t>- nei casi di cui ai punti i., ii. e iii., le somme oggetto di rateizzazione sono suddivise in un numero di rate successive di ammontare costante pari almeno al numero di fatture di acconto o stimate ricevute successivamente alla precedente fattura contenente ricalcoli e comunque non inferiore a 2 (due);</w:t>
      </w:r>
    </w:p>
    <w:p w:rsidR="00245773" w:rsidRDefault="00245773" w:rsidP="00245773">
      <w:pPr>
        <w:pStyle w:val="testo"/>
        <w:spacing w:after="0"/>
        <w:jc w:val="both"/>
        <w:rPr>
          <w:lang w:bidi="it-IT"/>
        </w:rPr>
      </w:pPr>
      <w:r>
        <w:rPr>
          <w:lang w:bidi="it-IT"/>
        </w:rPr>
        <w:t>- nei casi di cui al punto iv, le somme oggetto di rateizzazione sono suddivise in un numero di rate successive di ammontare costante pari almeno al numero di fatture non emesse a causa del mancato rispetto della frequenza di fatturazione e comunque non inferiore a 2 (due);</w:t>
      </w:r>
    </w:p>
    <w:p w:rsidR="00245773" w:rsidRDefault="00245773" w:rsidP="00245773">
      <w:pPr>
        <w:pStyle w:val="testo"/>
        <w:spacing w:after="0"/>
        <w:jc w:val="both"/>
        <w:rPr>
          <w:lang w:bidi="it-IT"/>
        </w:rPr>
      </w:pPr>
      <w:r>
        <w:rPr>
          <w:lang w:bidi="it-IT"/>
        </w:rPr>
        <w:t>- nei casi di cui al punto v., le somme oggetto di rateizzazione sono suddivise in un numero di rate successive di ammontare costante pari al massimo al numero di fatture emesse negli ultimi 12 (dodici) mesi e comunque non inferiore a 2 (due);</w:t>
      </w:r>
    </w:p>
    <w:p w:rsidR="00245773" w:rsidRDefault="00245773" w:rsidP="00245773">
      <w:pPr>
        <w:pStyle w:val="testo"/>
        <w:spacing w:after="0"/>
        <w:jc w:val="both"/>
        <w:rPr>
          <w:lang w:bidi="it-IT"/>
        </w:rPr>
      </w:pPr>
      <w:r>
        <w:rPr>
          <w:lang w:bidi="it-IT"/>
        </w:rPr>
        <w:t>- le rate, non cumulabili, hanno una frequenza corrispondente a quella di fatturazione, fatta salva la facoltà per il venditore di imputare le rate a mezzo di documenti diversi dalla fattura e di inviarle separatamente da questi ultimi;</w:t>
      </w:r>
    </w:p>
    <w:p w:rsidR="00245773" w:rsidRDefault="00245773" w:rsidP="00245773">
      <w:pPr>
        <w:pStyle w:val="testo"/>
        <w:spacing w:after="0"/>
        <w:jc w:val="both"/>
        <w:rPr>
          <w:lang w:bidi="it-IT"/>
        </w:rPr>
      </w:pPr>
      <w:r>
        <w:rPr>
          <w:lang w:bidi="it-IT"/>
        </w:rPr>
        <w:t xml:space="preserve">- è facoltà del Fornitore richiedere il pagamento della prima rata entro 30 (trenta) giorni dal ricevimento della richiesta del Cliente finale oppure entro la scadenza del termine per richiedere la rateizzazione; in tale ultimo caso, il Fornitore provvede ad allegare alla fattura oggetto di rateizzazione la documentazione che permetta al Cliente finale il pagamento della prima rata, oltre ad una comunicazione che informi il Cliente stesso  che il pagamento della suddetta rata equivale ad accettazione della rateizzazione in accordo a quanto previsto dal presente articolo; </w:t>
      </w:r>
    </w:p>
    <w:p w:rsidR="00245773" w:rsidRDefault="00245773" w:rsidP="00245773">
      <w:pPr>
        <w:pStyle w:val="testo"/>
        <w:spacing w:after="0"/>
        <w:jc w:val="both"/>
        <w:rPr>
          <w:lang w:bidi="it-IT"/>
        </w:rPr>
      </w:pPr>
      <w:r>
        <w:rPr>
          <w:lang w:bidi="it-IT"/>
        </w:rPr>
        <w:t xml:space="preserve">- le somme oggetto di rateizzazione sono maggiorate del Tasso di riferimento fissato dalla Banca Centrale Europea, disponibile presso il sito www.euribor.it, calcolato dal giorno di scadenza del termine fissato per il pagamento della fattura. </w:t>
      </w:r>
    </w:p>
    <w:p w:rsidR="00245773" w:rsidRDefault="00245773" w:rsidP="00245773">
      <w:pPr>
        <w:pStyle w:val="testo"/>
        <w:spacing w:after="0"/>
        <w:jc w:val="both"/>
        <w:rPr>
          <w:lang w:bidi="it-IT"/>
        </w:rPr>
      </w:pPr>
      <w:r>
        <w:rPr>
          <w:lang w:bidi="it-IT"/>
        </w:rPr>
        <w:t xml:space="preserve">12.4 Qualora il Cliente concluda un contratto con un nuovo </w:t>
      </w:r>
      <w:proofErr w:type="gramStart"/>
      <w:r>
        <w:rPr>
          <w:lang w:bidi="it-IT"/>
        </w:rPr>
        <w:t>Fornitore,  il</w:t>
      </w:r>
      <w:proofErr w:type="gramEnd"/>
      <w:r>
        <w:rPr>
          <w:lang w:bidi="it-IT"/>
        </w:rPr>
        <w:t xml:space="preserve"> Fornitore uscente ha facoltà di richiedere al Cliente il pagamento dell’importo relativo alle rate non ancora scadute secondo una periodicità mensile. Il Fornitore che intenda avvalersi di tale facoltà, è tenuto ad informarne il Cliente nella fattura relativa al pagamento rateizzabile o nella comunicazione con cui formalizza il piano di rateizzazione concordato. 12.5 Nei casi di costituzione in mora di un Cliente titolare di bonus sociale il Fornitore è tenuto a offrirgli la possibilità di rateizzare il debito, una sola volta nell’arco dei 12 mesi del periodo di agevolazione. L’informativa sulle modalità di rateizzazione del debito è contenuta nella comunicazione di costituzione in mora. </w:t>
      </w:r>
    </w:p>
    <w:p w:rsidR="00245773" w:rsidRDefault="00245773" w:rsidP="00245773">
      <w:pPr>
        <w:pStyle w:val="testo"/>
        <w:spacing w:after="0"/>
        <w:jc w:val="both"/>
        <w:rPr>
          <w:lang w:bidi="it-IT"/>
        </w:rPr>
      </w:pPr>
      <w:r>
        <w:rPr>
          <w:lang w:bidi="it-IT"/>
        </w:rPr>
        <w:t>12.6 Nella predetta ipotesi, la rateizzazione si attua secondo le seguenti modalità:</w:t>
      </w:r>
    </w:p>
    <w:p w:rsidR="00DD3C63" w:rsidRDefault="00DD3C63" w:rsidP="00DD3C63">
      <w:pPr>
        <w:pStyle w:val="testo"/>
        <w:spacing w:after="0"/>
        <w:jc w:val="both"/>
        <w:rPr>
          <w:lang w:bidi="it-IT"/>
        </w:rPr>
      </w:pPr>
      <w:r>
        <w:rPr>
          <w:lang w:bidi="it-IT"/>
        </w:rPr>
        <w:t xml:space="preserve">a) la prima rata non può essere superiore </w:t>
      </w:r>
      <w:proofErr w:type="spellStart"/>
      <w:r>
        <w:rPr>
          <w:lang w:bidi="it-IT"/>
        </w:rPr>
        <w:t>al</w:t>
      </w:r>
      <w:proofErr w:type="spellEnd"/>
      <w:r>
        <w:rPr>
          <w:lang w:bidi="it-IT"/>
        </w:rPr>
        <w:t xml:space="preserve"> trenta percento del debito di cui alla costituzione in mora;</w:t>
      </w:r>
    </w:p>
    <w:p w:rsidR="00DD3C63" w:rsidRDefault="00DD3C63" w:rsidP="00DD3C63">
      <w:pPr>
        <w:pStyle w:val="testo"/>
        <w:spacing w:after="0"/>
        <w:jc w:val="both"/>
        <w:rPr>
          <w:lang w:bidi="it-IT"/>
        </w:rPr>
      </w:pPr>
      <w:r>
        <w:rPr>
          <w:lang w:bidi="it-IT"/>
        </w:rPr>
        <w:t>b) qualunque sia la periodicità negoziata, le rate non possono essere cumulate;</w:t>
      </w:r>
    </w:p>
    <w:p w:rsidR="00DD3C63" w:rsidRDefault="00DD3C63" w:rsidP="00DD3C63">
      <w:pPr>
        <w:pStyle w:val="testo"/>
        <w:spacing w:after="0"/>
        <w:jc w:val="both"/>
        <w:rPr>
          <w:lang w:bidi="it-IT"/>
        </w:rPr>
      </w:pPr>
      <w:r>
        <w:rPr>
          <w:lang w:bidi="it-IT"/>
        </w:rPr>
        <w:t>c) la rateizzazione viene proposta per debiti superiori a 50 euro;</w:t>
      </w:r>
    </w:p>
    <w:p w:rsidR="00DD3C63" w:rsidRDefault="00DD3C63" w:rsidP="00DD3C63">
      <w:pPr>
        <w:pStyle w:val="testo"/>
        <w:spacing w:after="0"/>
        <w:jc w:val="both"/>
        <w:rPr>
          <w:lang w:bidi="it-IT"/>
        </w:rPr>
      </w:pPr>
      <w:r>
        <w:rPr>
          <w:lang w:bidi="it-IT"/>
        </w:rPr>
        <w:t>d) il piano rateale contiene in modo chiaro e con linguaggio comune le previsioni delle azioni che possono conseguire dal mancato pagamento di una o più rate.</w:t>
      </w:r>
    </w:p>
    <w:p w:rsidR="00DD3C63" w:rsidRDefault="00DD3C63" w:rsidP="00DD3C63">
      <w:pPr>
        <w:pStyle w:val="testo"/>
        <w:spacing w:after="0"/>
        <w:jc w:val="both"/>
        <w:rPr>
          <w:lang w:bidi="it-IT"/>
        </w:rPr>
      </w:pPr>
      <w:r>
        <w:rPr>
          <w:lang w:bidi="it-IT"/>
        </w:rPr>
        <w:t>12.7 Il Fornitore non è tenuto a offrire la rateizzazione, di cui al comma 12.3, nei casi in cui la/e fattura/e non pagata/e per cui il Cliente titolare di bonus sociale è stato costituito in mora, contabilizzi anche una sola rata riferita ad un piano di rateizzazione già in corso.</w:t>
      </w:r>
    </w:p>
    <w:p w:rsidR="00DD3C63" w:rsidRDefault="00DD3C63" w:rsidP="00DD3C63">
      <w:pPr>
        <w:pStyle w:val="testo"/>
        <w:spacing w:after="0"/>
        <w:jc w:val="both"/>
        <w:rPr>
          <w:lang w:bidi="it-IT"/>
        </w:rPr>
      </w:pPr>
      <w:r>
        <w:rPr>
          <w:lang w:bidi="it-IT"/>
        </w:rPr>
        <w:t>Articolo 13. Garanzie a carico del cliente finale</w:t>
      </w:r>
    </w:p>
    <w:p w:rsidR="00DD3C63" w:rsidRDefault="00DD3C63" w:rsidP="00DD3C63">
      <w:pPr>
        <w:pStyle w:val="testo"/>
        <w:spacing w:after="0"/>
        <w:jc w:val="both"/>
        <w:rPr>
          <w:lang w:bidi="it-IT"/>
        </w:rPr>
      </w:pPr>
      <w:r>
        <w:rPr>
          <w:lang w:bidi="it-IT"/>
        </w:rPr>
        <w:lastRenderedPageBreak/>
        <w:t xml:space="preserve">13.1 Salvo quanto disposto al successivo comma 13.8 il Fornitore richiede al Cliente una garanzia nella forma di deposito cauzionale </w:t>
      </w:r>
    </w:p>
    <w:p w:rsidR="008F209F" w:rsidRDefault="00DD3C63" w:rsidP="00DD3C63">
      <w:pPr>
        <w:pStyle w:val="testo"/>
        <w:spacing w:after="0"/>
        <w:jc w:val="both"/>
        <w:rPr>
          <w:lang w:bidi="it-IT"/>
        </w:rPr>
      </w:pPr>
      <w:r>
        <w:rPr>
          <w:lang w:bidi="it-IT"/>
        </w:rPr>
        <w:t>13.2 L’importo del deposito cauzionale è pari a quanto previsto dall’ARERA (TIVG) riportato nelle seguenti tabelle:</w:t>
      </w:r>
    </w:p>
    <w:p w:rsidR="00DD3C63" w:rsidRDefault="00DD3C63" w:rsidP="00DD3C63">
      <w:pPr>
        <w:pStyle w:val="testo"/>
        <w:spacing w:after="0"/>
        <w:jc w:val="both"/>
        <w:rPr>
          <w:lang w:bidi="it-IT"/>
        </w:rPr>
      </w:pPr>
    </w:p>
    <w:tbl>
      <w:tblPr>
        <w:tblStyle w:val="Grigliatabella"/>
        <w:tblW w:w="5000" w:type="pct"/>
        <w:tblLook w:val="04A0" w:firstRow="1" w:lastRow="0" w:firstColumn="1" w:lastColumn="0" w:noHBand="0" w:noVBand="1"/>
      </w:tblPr>
      <w:tblGrid>
        <w:gridCol w:w="973"/>
        <w:gridCol w:w="558"/>
        <w:gridCol w:w="795"/>
        <w:gridCol w:w="869"/>
        <w:gridCol w:w="634"/>
        <w:gridCol w:w="1040"/>
      </w:tblGrid>
      <w:tr w:rsidR="003C4921" w:rsidTr="008600E1">
        <w:tc>
          <w:tcPr>
            <w:tcW w:w="5000" w:type="pct"/>
            <w:gridSpan w:val="6"/>
          </w:tcPr>
          <w:p w:rsidR="003C4921" w:rsidRPr="00DD3C63" w:rsidRDefault="003C4921" w:rsidP="00DD3C63">
            <w:pPr>
              <w:pStyle w:val="testo"/>
              <w:jc w:val="both"/>
              <w:rPr>
                <w:b/>
                <w:bCs/>
                <w:lang w:bidi="it-IT"/>
              </w:rPr>
            </w:pPr>
            <w:r w:rsidRPr="00DD3C63">
              <w:rPr>
                <w:b/>
                <w:bCs/>
                <w:lang w:bidi="it-IT"/>
              </w:rPr>
              <w:t>Clienti titolari di bonus sociale</w:t>
            </w:r>
          </w:p>
        </w:tc>
      </w:tr>
      <w:tr w:rsidR="003C4921" w:rsidTr="008600E1">
        <w:tc>
          <w:tcPr>
            <w:tcW w:w="5000" w:type="pct"/>
            <w:gridSpan w:val="6"/>
            <w:vAlign w:val="center"/>
          </w:tcPr>
          <w:p w:rsidR="003C4921" w:rsidRPr="00DD3C63" w:rsidRDefault="003C4921" w:rsidP="00DD3C63">
            <w:pPr>
              <w:pStyle w:val="testo"/>
              <w:jc w:val="center"/>
              <w:rPr>
                <w:lang w:bidi="it-IT"/>
              </w:rPr>
            </w:pPr>
            <w:r w:rsidRPr="00DD3C63">
              <w:rPr>
                <w:lang w:bidi="it-IT"/>
              </w:rPr>
              <w:t>Consumo annuo (</w:t>
            </w:r>
            <w:proofErr w:type="spellStart"/>
            <w:r w:rsidRPr="00DD3C63">
              <w:rPr>
                <w:lang w:bidi="it-IT"/>
              </w:rPr>
              <w:t>Smc</w:t>
            </w:r>
            <w:proofErr w:type="spellEnd"/>
            <w:r w:rsidRPr="00DD3C63">
              <w:rPr>
                <w:lang w:bidi="it-IT"/>
              </w:rPr>
              <w:t>/anno)</w:t>
            </w:r>
          </w:p>
        </w:tc>
      </w:tr>
      <w:tr w:rsidR="003C4921" w:rsidTr="00F24D74">
        <w:tc>
          <w:tcPr>
            <w:tcW w:w="1000" w:type="pct"/>
          </w:tcPr>
          <w:p w:rsidR="003C4921" w:rsidRDefault="003C4921" w:rsidP="00DD3C63">
            <w:pPr>
              <w:pStyle w:val="testo"/>
              <w:jc w:val="both"/>
              <w:rPr>
                <w:lang w:bidi="it-IT"/>
              </w:rPr>
            </w:pPr>
          </w:p>
        </w:tc>
        <w:tc>
          <w:tcPr>
            <w:tcW w:w="573" w:type="pct"/>
          </w:tcPr>
          <w:p w:rsidR="003C4921" w:rsidRDefault="003C4921" w:rsidP="00DD3C63">
            <w:pPr>
              <w:pStyle w:val="testo"/>
              <w:jc w:val="both"/>
              <w:rPr>
                <w:lang w:bidi="it-IT"/>
              </w:rPr>
            </w:pPr>
            <w:r w:rsidRPr="00DD3C63">
              <w:rPr>
                <w:lang w:bidi="it-IT"/>
              </w:rPr>
              <w:t>&lt;500</w:t>
            </w:r>
          </w:p>
        </w:tc>
        <w:tc>
          <w:tcPr>
            <w:tcW w:w="816" w:type="pct"/>
          </w:tcPr>
          <w:p w:rsidR="003C4921" w:rsidRDefault="003C4921" w:rsidP="00F17270">
            <w:pPr>
              <w:pStyle w:val="testo"/>
              <w:rPr>
                <w:lang w:bidi="it-IT"/>
              </w:rPr>
            </w:pPr>
            <w:r w:rsidRPr="00DD3C63">
              <w:rPr>
                <w:lang w:bidi="it-IT"/>
              </w:rPr>
              <w:t>Fino a</w:t>
            </w:r>
            <w:r>
              <w:rPr>
                <w:lang w:bidi="it-IT"/>
              </w:rPr>
              <w:t xml:space="preserve"> </w:t>
            </w:r>
            <w:r w:rsidRPr="00DD3C63">
              <w:rPr>
                <w:lang w:bidi="it-IT"/>
              </w:rPr>
              <w:t>5000</w:t>
            </w:r>
          </w:p>
        </w:tc>
        <w:tc>
          <w:tcPr>
            <w:tcW w:w="2610" w:type="pct"/>
            <w:gridSpan w:val="3"/>
          </w:tcPr>
          <w:p w:rsidR="003C4921" w:rsidRDefault="003C4921" w:rsidP="00DD3C63">
            <w:pPr>
              <w:pStyle w:val="testo"/>
              <w:jc w:val="both"/>
              <w:rPr>
                <w:lang w:bidi="it-IT"/>
              </w:rPr>
            </w:pPr>
            <w:r>
              <w:rPr>
                <w:lang w:bidi="it-IT"/>
              </w:rPr>
              <w:t>&gt;</w:t>
            </w:r>
            <w:r w:rsidRPr="00DD3C63">
              <w:rPr>
                <w:lang w:bidi="it-IT"/>
              </w:rPr>
              <w:t>5000</w:t>
            </w:r>
          </w:p>
        </w:tc>
      </w:tr>
      <w:tr w:rsidR="003C4921" w:rsidTr="00F17270">
        <w:trPr>
          <w:trHeight w:val="624"/>
        </w:trPr>
        <w:tc>
          <w:tcPr>
            <w:tcW w:w="1000" w:type="pct"/>
          </w:tcPr>
          <w:p w:rsidR="003C4921" w:rsidRDefault="003C4921" w:rsidP="00DD3C63">
            <w:pPr>
              <w:pStyle w:val="testo"/>
              <w:jc w:val="both"/>
              <w:rPr>
                <w:lang w:bidi="it-IT"/>
              </w:rPr>
            </w:pPr>
            <w:r w:rsidRPr="00DD3C63">
              <w:rPr>
                <w:lang w:bidi="it-IT"/>
              </w:rPr>
              <w:t>Ammontare</w:t>
            </w:r>
            <w:r>
              <w:rPr>
                <w:lang w:bidi="it-IT"/>
              </w:rPr>
              <w:t xml:space="preserve"> </w:t>
            </w:r>
            <w:r w:rsidRPr="00DD3C63">
              <w:rPr>
                <w:lang w:bidi="it-IT"/>
              </w:rPr>
              <w:t>deposito (€)</w:t>
            </w:r>
          </w:p>
        </w:tc>
        <w:tc>
          <w:tcPr>
            <w:tcW w:w="573" w:type="pct"/>
          </w:tcPr>
          <w:p w:rsidR="003C4921" w:rsidRDefault="003C4921" w:rsidP="00DD3C63">
            <w:pPr>
              <w:pStyle w:val="testo"/>
              <w:jc w:val="both"/>
              <w:rPr>
                <w:lang w:bidi="it-IT"/>
              </w:rPr>
            </w:pPr>
            <w:r w:rsidRPr="00DD3C63">
              <w:rPr>
                <w:lang w:bidi="it-IT"/>
              </w:rPr>
              <w:t>25,00</w:t>
            </w:r>
          </w:p>
        </w:tc>
        <w:tc>
          <w:tcPr>
            <w:tcW w:w="816" w:type="pct"/>
          </w:tcPr>
          <w:p w:rsidR="003C4921" w:rsidRDefault="003C4921" w:rsidP="00DD3C63">
            <w:pPr>
              <w:pStyle w:val="testo"/>
              <w:jc w:val="both"/>
              <w:rPr>
                <w:lang w:bidi="it-IT"/>
              </w:rPr>
            </w:pPr>
            <w:r w:rsidRPr="00DD3C63">
              <w:rPr>
                <w:lang w:bidi="it-IT"/>
              </w:rPr>
              <w:t>77,00</w:t>
            </w:r>
          </w:p>
        </w:tc>
        <w:tc>
          <w:tcPr>
            <w:tcW w:w="2610" w:type="pct"/>
            <w:gridSpan w:val="3"/>
          </w:tcPr>
          <w:p w:rsidR="003C4921" w:rsidRPr="00DD3C63" w:rsidRDefault="003C4921" w:rsidP="00DD3C63">
            <w:pPr>
              <w:pStyle w:val="testo"/>
              <w:jc w:val="both"/>
              <w:rPr>
                <w:lang w:bidi="it-IT"/>
              </w:rPr>
            </w:pPr>
            <w:r w:rsidRPr="00F24D74">
              <w:rPr>
                <w:sz w:val="12"/>
                <w:szCs w:val="12"/>
                <w:lang w:bidi="it-IT"/>
              </w:rPr>
              <w:t>valore di una mensilità di consumo medio annuo attribuibile al cliente al netto delle imposte</w:t>
            </w:r>
          </w:p>
        </w:tc>
      </w:tr>
      <w:tr w:rsidR="003C4921" w:rsidTr="008600E1">
        <w:tc>
          <w:tcPr>
            <w:tcW w:w="5000" w:type="pct"/>
            <w:gridSpan w:val="6"/>
          </w:tcPr>
          <w:p w:rsidR="003C4921" w:rsidRPr="002F557A" w:rsidRDefault="003C4921" w:rsidP="00DD3C63">
            <w:pPr>
              <w:pStyle w:val="testo"/>
              <w:jc w:val="both"/>
              <w:rPr>
                <w:b/>
                <w:bCs/>
                <w:lang w:bidi="it-IT"/>
              </w:rPr>
            </w:pPr>
            <w:r w:rsidRPr="002F557A">
              <w:rPr>
                <w:b/>
                <w:bCs/>
                <w:lang w:bidi="it-IT"/>
              </w:rPr>
              <w:t>Altri clienti</w:t>
            </w:r>
          </w:p>
        </w:tc>
      </w:tr>
      <w:tr w:rsidR="003C4921" w:rsidTr="008600E1">
        <w:tc>
          <w:tcPr>
            <w:tcW w:w="5000" w:type="pct"/>
            <w:gridSpan w:val="6"/>
            <w:vAlign w:val="center"/>
          </w:tcPr>
          <w:p w:rsidR="003C4921" w:rsidRPr="002F557A" w:rsidRDefault="003C4921" w:rsidP="002F557A">
            <w:pPr>
              <w:pStyle w:val="testo"/>
              <w:jc w:val="center"/>
              <w:rPr>
                <w:lang w:bidi="it-IT"/>
              </w:rPr>
            </w:pPr>
            <w:r w:rsidRPr="002F557A">
              <w:rPr>
                <w:lang w:bidi="it-IT"/>
              </w:rPr>
              <w:t>Consumo Annuo (</w:t>
            </w:r>
            <w:proofErr w:type="spellStart"/>
            <w:r w:rsidRPr="002F557A">
              <w:rPr>
                <w:lang w:bidi="it-IT"/>
              </w:rPr>
              <w:t>Smc</w:t>
            </w:r>
            <w:proofErr w:type="spellEnd"/>
            <w:r w:rsidRPr="002F557A">
              <w:rPr>
                <w:lang w:bidi="it-IT"/>
              </w:rPr>
              <w:t>/anno)</w:t>
            </w:r>
          </w:p>
        </w:tc>
      </w:tr>
      <w:tr w:rsidR="00F24D74" w:rsidTr="00F24D74">
        <w:tc>
          <w:tcPr>
            <w:tcW w:w="1000" w:type="pct"/>
          </w:tcPr>
          <w:p w:rsidR="008600E1" w:rsidRDefault="008600E1" w:rsidP="00DD3C63">
            <w:pPr>
              <w:pStyle w:val="testo"/>
              <w:jc w:val="both"/>
              <w:rPr>
                <w:lang w:bidi="it-IT"/>
              </w:rPr>
            </w:pPr>
          </w:p>
        </w:tc>
        <w:tc>
          <w:tcPr>
            <w:tcW w:w="573" w:type="pct"/>
            <w:vAlign w:val="center"/>
          </w:tcPr>
          <w:p w:rsidR="008600E1" w:rsidRDefault="008600E1" w:rsidP="008600E1">
            <w:pPr>
              <w:pStyle w:val="testo"/>
              <w:rPr>
                <w:lang w:bidi="it-IT"/>
              </w:rPr>
            </w:pPr>
            <w:r w:rsidRPr="003C4921">
              <w:rPr>
                <w:lang w:bidi="it-IT"/>
              </w:rPr>
              <w:t>&lt;500</w:t>
            </w:r>
          </w:p>
        </w:tc>
        <w:tc>
          <w:tcPr>
            <w:tcW w:w="816" w:type="pct"/>
            <w:vAlign w:val="center"/>
          </w:tcPr>
          <w:p w:rsidR="008600E1" w:rsidRDefault="008600E1" w:rsidP="008600E1">
            <w:pPr>
              <w:pStyle w:val="testo"/>
              <w:rPr>
                <w:lang w:bidi="it-IT"/>
              </w:rPr>
            </w:pPr>
            <w:r w:rsidRPr="003C4921">
              <w:rPr>
                <w:lang w:bidi="it-IT"/>
              </w:rPr>
              <w:t>Fino a</w:t>
            </w:r>
            <w:r>
              <w:rPr>
                <w:lang w:bidi="it-IT"/>
              </w:rPr>
              <w:t xml:space="preserve"> </w:t>
            </w:r>
            <w:r w:rsidRPr="003C4921">
              <w:rPr>
                <w:lang w:bidi="it-IT"/>
              </w:rPr>
              <w:t>1500</w:t>
            </w:r>
          </w:p>
        </w:tc>
        <w:tc>
          <w:tcPr>
            <w:tcW w:w="892" w:type="pct"/>
            <w:vAlign w:val="center"/>
          </w:tcPr>
          <w:p w:rsidR="008600E1" w:rsidRDefault="008600E1" w:rsidP="008600E1">
            <w:pPr>
              <w:pStyle w:val="testo"/>
              <w:rPr>
                <w:lang w:bidi="it-IT"/>
              </w:rPr>
            </w:pPr>
            <w:r w:rsidRPr="008600E1">
              <w:rPr>
                <w:lang w:bidi="it-IT"/>
              </w:rPr>
              <w:t>Fino a</w:t>
            </w:r>
            <w:r>
              <w:rPr>
                <w:lang w:bidi="it-IT"/>
              </w:rPr>
              <w:t xml:space="preserve"> </w:t>
            </w:r>
            <w:r w:rsidRPr="008600E1">
              <w:rPr>
                <w:lang w:bidi="it-IT"/>
              </w:rPr>
              <w:t>2500</w:t>
            </w:r>
          </w:p>
        </w:tc>
        <w:tc>
          <w:tcPr>
            <w:tcW w:w="651" w:type="pct"/>
            <w:vAlign w:val="center"/>
          </w:tcPr>
          <w:p w:rsidR="008600E1" w:rsidRDefault="008600E1" w:rsidP="008600E1">
            <w:pPr>
              <w:pStyle w:val="testo"/>
              <w:rPr>
                <w:lang w:bidi="it-IT"/>
              </w:rPr>
            </w:pPr>
            <w:r w:rsidRPr="008600E1">
              <w:rPr>
                <w:lang w:bidi="it-IT"/>
              </w:rPr>
              <w:t>Fino a</w:t>
            </w:r>
            <w:r>
              <w:rPr>
                <w:lang w:bidi="it-IT"/>
              </w:rPr>
              <w:t xml:space="preserve"> </w:t>
            </w:r>
            <w:r w:rsidRPr="008600E1">
              <w:rPr>
                <w:lang w:bidi="it-IT"/>
              </w:rPr>
              <w:t>5000</w:t>
            </w:r>
          </w:p>
        </w:tc>
        <w:tc>
          <w:tcPr>
            <w:tcW w:w="1067" w:type="pct"/>
            <w:vAlign w:val="center"/>
          </w:tcPr>
          <w:p w:rsidR="008600E1" w:rsidRDefault="00F24D74" w:rsidP="008600E1">
            <w:pPr>
              <w:pStyle w:val="testo"/>
              <w:rPr>
                <w:lang w:bidi="it-IT"/>
              </w:rPr>
            </w:pPr>
            <w:r w:rsidRPr="00F24D74">
              <w:rPr>
                <w:lang w:bidi="it-IT"/>
              </w:rPr>
              <w:t>&gt;5000</w:t>
            </w:r>
          </w:p>
        </w:tc>
      </w:tr>
      <w:tr w:rsidR="00F24D74" w:rsidTr="00F24D74">
        <w:tc>
          <w:tcPr>
            <w:tcW w:w="1000" w:type="pct"/>
          </w:tcPr>
          <w:p w:rsidR="008600E1" w:rsidRDefault="00F24D74" w:rsidP="00DD3C63">
            <w:pPr>
              <w:pStyle w:val="testo"/>
              <w:jc w:val="both"/>
              <w:rPr>
                <w:lang w:bidi="it-IT"/>
              </w:rPr>
            </w:pPr>
            <w:r w:rsidRPr="00F24D74">
              <w:rPr>
                <w:lang w:bidi="it-IT"/>
              </w:rPr>
              <w:t>Ammontare deposito (€)</w:t>
            </w:r>
          </w:p>
        </w:tc>
        <w:tc>
          <w:tcPr>
            <w:tcW w:w="573" w:type="pct"/>
          </w:tcPr>
          <w:p w:rsidR="008600E1" w:rsidRDefault="00F24D74" w:rsidP="00DD3C63">
            <w:pPr>
              <w:pStyle w:val="testo"/>
              <w:jc w:val="both"/>
              <w:rPr>
                <w:lang w:bidi="it-IT"/>
              </w:rPr>
            </w:pPr>
            <w:r w:rsidRPr="00F24D74">
              <w:rPr>
                <w:lang w:bidi="it-IT"/>
              </w:rPr>
              <w:t>30,00</w:t>
            </w:r>
          </w:p>
        </w:tc>
        <w:tc>
          <w:tcPr>
            <w:tcW w:w="816" w:type="pct"/>
          </w:tcPr>
          <w:p w:rsidR="008600E1" w:rsidRDefault="00F24D74" w:rsidP="00DD3C63">
            <w:pPr>
              <w:pStyle w:val="testo"/>
              <w:jc w:val="both"/>
              <w:rPr>
                <w:lang w:bidi="it-IT"/>
              </w:rPr>
            </w:pPr>
            <w:r w:rsidRPr="00F24D74">
              <w:rPr>
                <w:lang w:bidi="it-IT"/>
              </w:rPr>
              <w:t>90,00</w:t>
            </w:r>
          </w:p>
        </w:tc>
        <w:tc>
          <w:tcPr>
            <w:tcW w:w="892" w:type="pct"/>
          </w:tcPr>
          <w:p w:rsidR="008600E1" w:rsidRDefault="00F24D74" w:rsidP="00DD3C63">
            <w:pPr>
              <w:pStyle w:val="testo"/>
              <w:jc w:val="both"/>
              <w:rPr>
                <w:lang w:bidi="it-IT"/>
              </w:rPr>
            </w:pPr>
            <w:r w:rsidRPr="00F24D74">
              <w:rPr>
                <w:lang w:bidi="it-IT"/>
              </w:rPr>
              <w:t>150,00</w:t>
            </w:r>
          </w:p>
        </w:tc>
        <w:tc>
          <w:tcPr>
            <w:tcW w:w="651" w:type="pct"/>
          </w:tcPr>
          <w:p w:rsidR="008600E1" w:rsidRDefault="00F24D74" w:rsidP="00DD3C63">
            <w:pPr>
              <w:pStyle w:val="testo"/>
              <w:jc w:val="both"/>
              <w:rPr>
                <w:lang w:bidi="it-IT"/>
              </w:rPr>
            </w:pPr>
            <w:r w:rsidRPr="00F24D74">
              <w:rPr>
                <w:lang w:bidi="it-IT"/>
              </w:rPr>
              <w:t>300,00</w:t>
            </w:r>
          </w:p>
        </w:tc>
        <w:tc>
          <w:tcPr>
            <w:tcW w:w="1067" w:type="pct"/>
          </w:tcPr>
          <w:p w:rsidR="008600E1" w:rsidRPr="00F24D74" w:rsidRDefault="00F24D74" w:rsidP="00DD3C63">
            <w:pPr>
              <w:pStyle w:val="testo"/>
              <w:jc w:val="both"/>
              <w:rPr>
                <w:sz w:val="12"/>
                <w:szCs w:val="12"/>
                <w:lang w:bidi="it-IT"/>
              </w:rPr>
            </w:pPr>
            <w:r w:rsidRPr="00F24D74">
              <w:rPr>
                <w:sz w:val="12"/>
                <w:szCs w:val="12"/>
                <w:lang w:bidi="it-IT"/>
              </w:rPr>
              <w:t>valore di una mensilità di consumo annuo attribuibile al cliente al netto delle imposte</w:t>
            </w:r>
          </w:p>
        </w:tc>
      </w:tr>
    </w:tbl>
    <w:p w:rsidR="00DD3C63" w:rsidRDefault="00DD3C63" w:rsidP="00DD3C63">
      <w:pPr>
        <w:pStyle w:val="testo"/>
        <w:spacing w:after="0"/>
        <w:jc w:val="both"/>
        <w:rPr>
          <w:lang w:bidi="it-IT"/>
        </w:rPr>
      </w:pPr>
    </w:p>
    <w:p w:rsidR="00F24D74" w:rsidRDefault="00F17270" w:rsidP="00DD3C63">
      <w:pPr>
        <w:pStyle w:val="testo"/>
        <w:spacing w:after="0"/>
        <w:jc w:val="both"/>
        <w:rPr>
          <w:lang w:bidi="it-IT"/>
        </w:rPr>
      </w:pPr>
      <w:r w:rsidRPr="00F17270">
        <w:rPr>
          <w:lang w:bidi="it-IT"/>
        </w:rPr>
        <w:t>13.3 L’ammontare del deposito cauzionale di cui al comma 13.2 è raddoppiato per i clienti che non sono titolari di bonus sociale, qualora si verifichi una delle seguenti condizioni:</w:t>
      </w:r>
    </w:p>
    <w:p w:rsidR="00F17270" w:rsidRDefault="00F17270" w:rsidP="00F17270">
      <w:pPr>
        <w:pStyle w:val="testo"/>
        <w:spacing w:after="0"/>
        <w:jc w:val="both"/>
        <w:rPr>
          <w:lang w:bidi="it-IT"/>
        </w:rPr>
      </w:pPr>
      <w:r>
        <w:rPr>
          <w:lang w:bidi="it-IT"/>
        </w:rPr>
        <w:t>a) il Fornitore abbia costituito in mora il Cliente finale, con riferimento ad almeno due fatture, anche non consecutive, nei 365 giorni precedenti la data di emissione di una nuova fattura;</w:t>
      </w:r>
    </w:p>
    <w:p w:rsidR="00F17270" w:rsidRDefault="00F17270" w:rsidP="00F17270">
      <w:pPr>
        <w:pStyle w:val="testo"/>
        <w:spacing w:after="0"/>
        <w:jc w:val="both"/>
        <w:rPr>
          <w:lang w:bidi="it-IT"/>
        </w:rPr>
      </w:pPr>
      <w:r>
        <w:rPr>
          <w:lang w:bidi="it-IT"/>
        </w:rPr>
        <w:t>b) il Cliente finale non abbia pagato il deposito di cui al comma 13.2 e   il Fornitore abbia costituito in mora il Cliente finale, con riferimento ad almeno una fattura nei 365 giorni precedenti la data di emissione di una nuova fattura.</w:t>
      </w:r>
    </w:p>
    <w:p w:rsidR="00F17270" w:rsidRDefault="00F17270" w:rsidP="00F17270">
      <w:pPr>
        <w:pStyle w:val="testo"/>
        <w:spacing w:after="0"/>
        <w:jc w:val="both"/>
        <w:rPr>
          <w:lang w:bidi="it-IT"/>
        </w:rPr>
      </w:pPr>
      <w:r>
        <w:rPr>
          <w:lang w:bidi="it-IT"/>
        </w:rPr>
        <w:t xml:space="preserve">13.4 Nel caso in cui il Cliente finale non versi il deposito cauzionale di cui al comma 13.2 eventualmente richiesto, il Fornitore può chiedere al Distributore di procedere alla sospensione della fornitura ai sensi delle disposizioni relative all’inadempimento del cliente. </w:t>
      </w:r>
    </w:p>
    <w:p w:rsidR="00F17270" w:rsidRDefault="00F17270" w:rsidP="00F17270">
      <w:pPr>
        <w:pStyle w:val="testo"/>
        <w:spacing w:after="0"/>
        <w:jc w:val="both"/>
        <w:rPr>
          <w:lang w:bidi="it-IT"/>
        </w:rPr>
      </w:pPr>
      <w:r>
        <w:rPr>
          <w:lang w:bidi="it-IT"/>
        </w:rPr>
        <w:t xml:space="preserve">13.5 Il deposito cauzionale è addebitato nella prima fattura utile ed è versato dal Cliente in un’unica soluzione. </w:t>
      </w:r>
    </w:p>
    <w:p w:rsidR="00F17270" w:rsidRDefault="00F17270" w:rsidP="00F17270">
      <w:pPr>
        <w:pStyle w:val="testo"/>
        <w:spacing w:after="0"/>
        <w:jc w:val="both"/>
        <w:rPr>
          <w:lang w:bidi="it-IT"/>
        </w:rPr>
      </w:pPr>
      <w:r>
        <w:rPr>
          <w:lang w:bidi="it-IT"/>
        </w:rPr>
        <w:t xml:space="preserve">13.6 Qualora nel corso dell’erogazione della fornitura il deposito cauzionale fosse imputato dal Fornitore, in tutto o in parte, a copertura di eventuali insoluti, il Cliente è tenuto a ricostituirlo con addebito nella prima fattura utile. </w:t>
      </w:r>
    </w:p>
    <w:p w:rsidR="00F17270" w:rsidRDefault="00F17270" w:rsidP="00F17270">
      <w:pPr>
        <w:pStyle w:val="testo"/>
        <w:spacing w:after="0"/>
        <w:jc w:val="both"/>
        <w:rPr>
          <w:lang w:bidi="it-IT"/>
        </w:rPr>
      </w:pPr>
      <w:r>
        <w:rPr>
          <w:lang w:bidi="it-IT"/>
        </w:rPr>
        <w:t xml:space="preserve">13.7 Il deposito cauzionale è restituito al Cliente alla cessazione della fornitura contestualmente alla fattura di chiusura, maggiorato in </w:t>
      </w:r>
      <w:proofErr w:type="gramStart"/>
      <w:r>
        <w:rPr>
          <w:lang w:bidi="it-IT"/>
        </w:rPr>
        <w:t>base  al</w:t>
      </w:r>
      <w:proofErr w:type="gramEnd"/>
      <w:r>
        <w:rPr>
          <w:lang w:bidi="it-IT"/>
        </w:rPr>
        <w:t xml:space="preserve"> tasso di interesse legale. Ai fini della restituzione, al Cliente non può essere richiesto di presentare alcun documento attestante l’avvenuto versamento dello stesso. </w:t>
      </w:r>
    </w:p>
    <w:p w:rsidR="00F17270" w:rsidRDefault="00F17270" w:rsidP="00F17270">
      <w:pPr>
        <w:pStyle w:val="testo"/>
        <w:spacing w:after="0"/>
        <w:jc w:val="both"/>
        <w:rPr>
          <w:lang w:bidi="it-IT"/>
        </w:rPr>
      </w:pPr>
      <w:r>
        <w:rPr>
          <w:lang w:bidi="it-IT"/>
        </w:rPr>
        <w:t xml:space="preserve">13.8 Non è tenuto alla prestazione di garanzia il Cliente finale domestico che usufruisca per il pagamento delle fatture della domiciliazione bancaria, postale o su carta di credito. </w:t>
      </w:r>
    </w:p>
    <w:p w:rsidR="00F17270" w:rsidRDefault="00F17270" w:rsidP="00F17270">
      <w:pPr>
        <w:pStyle w:val="testo"/>
        <w:spacing w:after="0"/>
        <w:jc w:val="both"/>
        <w:rPr>
          <w:lang w:bidi="it-IT"/>
        </w:rPr>
      </w:pPr>
      <w:r>
        <w:rPr>
          <w:lang w:bidi="it-IT"/>
        </w:rPr>
        <w:t xml:space="preserve">13.9 Il Cliente finale sarà tenuto alla prestazione della garanzia qualora in corso di vigenza del Contratto scelga di utilizzare una modalità di pagamento delle fatture diversa da quelle sopra elencate o nel caso di sopravvenuta impossibilità di domiciliazione bancaria, postale o su carta di credito. </w:t>
      </w:r>
    </w:p>
    <w:p w:rsidR="00F17270" w:rsidRDefault="00F17270" w:rsidP="00F17270">
      <w:pPr>
        <w:pStyle w:val="testo"/>
        <w:spacing w:after="0"/>
        <w:jc w:val="both"/>
        <w:rPr>
          <w:lang w:bidi="it-IT"/>
        </w:rPr>
      </w:pPr>
      <w:r>
        <w:rPr>
          <w:lang w:bidi="it-IT"/>
        </w:rPr>
        <w:t xml:space="preserve">Articolo 14. Interessi di mora </w:t>
      </w:r>
    </w:p>
    <w:p w:rsidR="00F17270" w:rsidRDefault="00F17270" w:rsidP="00F17270">
      <w:pPr>
        <w:pStyle w:val="testo"/>
        <w:spacing w:after="0"/>
        <w:jc w:val="both"/>
        <w:rPr>
          <w:lang w:bidi="it-IT"/>
        </w:rPr>
      </w:pPr>
      <w:r>
        <w:rPr>
          <w:lang w:bidi="it-IT"/>
        </w:rPr>
        <w:t xml:space="preserve">14.1 Qualora il Cliente non rispetti il termine di pagamento indicato nella fattura, il Fornitore può richiedere al Cliente medesimo, oltre al corrispettivo dovuto, la corresponsione degli interessi di mora calcolati su base annua e pari al tasso definito ai sensi dell’articolo 2 del decreto legislativo 24 giugno 1998, n. 213, </w:t>
      </w:r>
    </w:p>
    <w:p w:rsidR="00F17270" w:rsidRDefault="00F17270" w:rsidP="00F17270">
      <w:pPr>
        <w:pStyle w:val="testo"/>
        <w:spacing w:after="0"/>
        <w:jc w:val="both"/>
        <w:rPr>
          <w:lang w:bidi="it-IT"/>
        </w:rPr>
      </w:pPr>
      <w:r>
        <w:rPr>
          <w:lang w:bidi="it-IT"/>
        </w:rPr>
        <w:t xml:space="preserve">G.U. n. 157 del 8 luglio 1998, aumentato di 3,5 punti percentuali. </w:t>
      </w:r>
    </w:p>
    <w:p w:rsidR="00F17270" w:rsidRDefault="00F17270" w:rsidP="00F17270">
      <w:pPr>
        <w:pStyle w:val="testo"/>
        <w:spacing w:after="0"/>
        <w:jc w:val="both"/>
        <w:rPr>
          <w:lang w:bidi="it-IT"/>
        </w:rPr>
      </w:pPr>
      <w:r>
        <w:rPr>
          <w:lang w:bidi="it-IT"/>
        </w:rPr>
        <w:t xml:space="preserve">14.2 Il Cliente che ha pagato nei termini di scadenza le fatture relative all’ultimo biennio ovvero, qualora la fornitura risulti inferiore al biennio, le fatture relative al periodo di efficacia del Contratto è tenuto al pagamento del solo interesse legale per i primi 10 (dieci) giorni di ritardo. </w:t>
      </w:r>
    </w:p>
    <w:p w:rsidR="00F17270" w:rsidRDefault="00F17270" w:rsidP="00F17270">
      <w:pPr>
        <w:pStyle w:val="testo"/>
        <w:spacing w:after="0"/>
        <w:jc w:val="both"/>
        <w:rPr>
          <w:lang w:bidi="it-IT"/>
        </w:rPr>
      </w:pPr>
      <w:r>
        <w:rPr>
          <w:lang w:bidi="it-IT"/>
        </w:rPr>
        <w:t xml:space="preserve">14.3 Il Fornitore può richiedere il pagamento delle spese postali relative al sollecito di pagamento della fattura. È esclusa la richiesta di risarcimento del danno ulteriore </w:t>
      </w:r>
    </w:p>
    <w:p w:rsidR="00F17270" w:rsidRDefault="00F17270" w:rsidP="00F17270">
      <w:pPr>
        <w:pStyle w:val="testo"/>
        <w:spacing w:after="0"/>
        <w:jc w:val="both"/>
        <w:rPr>
          <w:lang w:bidi="it-IT"/>
        </w:rPr>
      </w:pPr>
      <w:r>
        <w:rPr>
          <w:lang w:bidi="it-IT"/>
        </w:rPr>
        <w:t xml:space="preserve">Articolo 15. Inadempimento del Cliente </w:t>
      </w:r>
    </w:p>
    <w:p w:rsidR="00F17270" w:rsidRDefault="00F17270" w:rsidP="00F17270">
      <w:pPr>
        <w:pStyle w:val="testo"/>
        <w:spacing w:after="0"/>
        <w:jc w:val="both"/>
        <w:rPr>
          <w:lang w:bidi="it-IT"/>
        </w:rPr>
      </w:pPr>
      <w:r>
        <w:rPr>
          <w:lang w:bidi="it-IT"/>
        </w:rPr>
        <w:t xml:space="preserve">15.1 In caso di ritardato o di omesso pagamento anche parziale dei corrispettivi dovuti dal Cliente ai sensi del presente Contratto, fermo restando quanto previsto dall’Articolo 14 e/o della richiesta di pagamento degli importi di cui all’articolo 11.17, trascorsi almeno 10 giorni dalla scadenza della fattura, il </w:t>
      </w:r>
      <w:r>
        <w:rPr>
          <w:lang w:bidi="it-IT"/>
        </w:rPr>
        <w:t xml:space="preserve">Fornitore ha facoltà di inviare al Cliente a mezzo di raccomandata oppure mediante posta elettronica certificata (PEC), nei casi in cui il Cliente abbia messo a disposizione il proprio indirizzo PEC e abbia dato il proprio assenso alla ricezione di eventuali comunicazioni allo stesso indirizzo PEC, un preavviso di sospensione della fornitura recante indicazione del termine ultimo per il pagamento (di seguito anche: comunicazione di costituzione in mora). </w:t>
      </w:r>
    </w:p>
    <w:p w:rsidR="00F17270" w:rsidRDefault="00F17270" w:rsidP="00F17270">
      <w:pPr>
        <w:pStyle w:val="testo"/>
        <w:spacing w:after="0"/>
        <w:jc w:val="both"/>
        <w:rPr>
          <w:lang w:bidi="it-IT"/>
        </w:rPr>
      </w:pPr>
      <w:r>
        <w:rPr>
          <w:lang w:bidi="it-IT"/>
        </w:rPr>
        <w:t xml:space="preserve">15.2 Il termine di cui al comma 15.1 non sarà inferiore a 15 (quindici) giorni solari dall’invio al Cliente della raccomandata o a 10 (dieci) giorni solari dal ricevimento della ricevuta di avvenuta consegna al Cliente della comunicazione di costituzione in mora mediante PEC o comunque non inferiore a 20 (venti) giorni solari dalla data di emissione della comunicazione di costituzione in mora nel caso in cui il Fornitore non  sia in grado di documentare la data di invio della comunicazione tramite raccomandata. </w:t>
      </w:r>
    </w:p>
    <w:p w:rsidR="00F17270" w:rsidRDefault="00F17270" w:rsidP="00F17270">
      <w:pPr>
        <w:pStyle w:val="testo"/>
        <w:spacing w:after="0"/>
        <w:jc w:val="both"/>
        <w:rPr>
          <w:lang w:bidi="it-IT"/>
        </w:rPr>
      </w:pPr>
      <w:r>
        <w:rPr>
          <w:lang w:bidi="it-IT"/>
        </w:rPr>
        <w:t xml:space="preserve">15.3 Nel caso in cui il Fornitore invii una comunicazione di costituzione in mora nei 90 (novanta) giorni successivi alla data dell’ultima richiesta di sospensione della fornitura per morosità con riferimento a fatture non contemplate nella precedente comunicazione, i suddetti termini ultimi per il saldo dei corrispettivi dovuti potranno essere ridotti in misura comunque non inferiore a 7 (sette) giorni solari dall’invio al Cliente della raccomandata e 5 (cinque) giorni solari dal ricevimento della ricevuta di avvenuta consegna al Cliente della comunicazione di costituzione in mora mediante PEC, o comunque a 10 (dieci) giorni solari dalla data di emissione della costituzione in mora nel caso in cui il Fornitore non sia in grado di documentare la data di invio della comunicazione tramite raccomandata. 15.4 La comunicazione di costituzione in mora conterrà altresì le modalità attraverso le quali il Cliente comunica l’avvenuto pagamento degli insoluti al Fornitore. </w:t>
      </w:r>
    </w:p>
    <w:p w:rsidR="00F17270" w:rsidRDefault="00F17270" w:rsidP="00F17270">
      <w:pPr>
        <w:pStyle w:val="testo"/>
        <w:spacing w:after="0"/>
        <w:jc w:val="both"/>
        <w:rPr>
          <w:lang w:bidi="it-IT"/>
        </w:rPr>
      </w:pPr>
      <w:r>
        <w:rPr>
          <w:lang w:bidi="it-IT"/>
        </w:rPr>
        <w:t>15.5 Il Fornitore, trascorsi inutilmente 3 giorni dal termine ultimo per   il pagamento, potrà, senza ulteriori avvisi, richiedere al Distributore di sospendere la fornitura. In tale ipotesi, il Fornitore si riserva il diritto di chiedere al Cliente il pagamento del corrispettivo di sospensione e di riattivazione della fornitura nel limite dell’ammontare previsto da ARERA o definito nel prezziario del Distributore.</w:t>
      </w:r>
    </w:p>
    <w:p w:rsidR="00F17270" w:rsidRDefault="00F17270" w:rsidP="00F17270">
      <w:pPr>
        <w:pStyle w:val="testo"/>
        <w:spacing w:after="0"/>
        <w:jc w:val="both"/>
        <w:rPr>
          <w:lang w:bidi="it-IT"/>
        </w:rPr>
      </w:pPr>
      <w:r>
        <w:rPr>
          <w:lang w:bidi="it-IT"/>
        </w:rPr>
        <w:t>15.6 Una volta sospesa la fornitura di energia elettrica o di gas naturale, il Cliente che intenda ottenere la riattivazione della fornitura, dovrà inviare al Fornitore la documentazione attestante l’avvenuto pagamento degli insoluti con le modalità previste nell’Articolo 24 relativo alle comunicazioni. 15.7 Una volta sospesa la fornitura, a fronte del perdurante inadempimento del Cliente, il Fornitore ha diritto, in ogni momento, di dichiarare risolto il Contratto e trasmettere al SII la relativa comunicazione di risoluzione, qualora il Contratto abbia a oggetto energia elettrica, ovvero richiedere al Distributore la Cessazione amministrativa ai sensi dell’articolo 9 del TIMG, qualora il Contratto abbia a oggetto il gas naturale. In tali casi, la risoluzione del Contratto ha effetto con la decorrenza dei servizi di ultima istanza.</w:t>
      </w:r>
    </w:p>
    <w:p w:rsidR="00F17270" w:rsidRDefault="00F17270" w:rsidP="00F17270">
      <w:pPr>
        <w:pStyle w:val="testo"/>
        <w:spacing w:after="0"/>
        <w:jc w:val="both"/>
        <w:rPr>
          <w:lang w:bidi="it-IT"/>
        </w:rPr>
      </w:pPr>
      <w:r>
        <w:rPr>
          <w:lang w:bidi="it-IT"/>
        </w:rPr>
        <w:t>15.8 Ove l’intervento di sospensione della fornitura non sia fattibile, il Fornitore potrà ricorrere, previa fattibilità tecnica, all’interruzione della fornitura anche sotto forma di lavoro complesso, ponendo i relativi oneri a carico del Cliente. L’esecuzione dell’intervento comporterà, con effetto dalla relativa data, la risoluzione di diritto del Contratto.</w:t>
      </w:r>
    </w:p>
    <w:p w:rsidR="00F17270" w:rsidRDefault="00F17270" w:rsidP="00F17270">
      <w:pPr>
        <w:pStyle w:val="testo"/>
        <w:spacing w:after="0"/>
        <w:jc w:val="both"/>
        <w:rPr>
          <w:lang w:bidi="it-IT"/>
        </w:rPr>
      </w:pPr>
      <w:r>
        <w:rPr>
          <w:lang w:bidi="it-IT"/>
        </w:rPr>
        <w:t>15.9 Ove non sia possibile eseguire l’intervento di interruzione della fornitura, il Fornitore ha diritto di dichiarare risolto il Contratto e richiedere al Distributore la relativa Cessazione amministrativa, in conformità alle previsioni di cui all’art. 13 del TIMG. La risoluzione del Contratto ha effetto a partire dalla data di decorrenza del Servizio di default.</w:t>
      </w:r>
    </w:p>
    <w:p w:rsidR="00F17270" w:rsidRDefault="00F17270" w:rsidP="00F17270">
      <w:pPr>
        <w:pStyle w:val="testo"/>
        <w:spacing w:after="0"/>
        <w:jc w:val="both"/>
        <w:rPr>
          <w:lang w:bidi="it-IT"/>
        </w:rPr>
      </w:pPr>
      <w:r>
        <w:rPr>
          <w:lang w:bidi="it-IT"/>
        </w:rPr>
        <w:t>15.10 Nel caso cui al precedente comma 15.9, il Fornitore è tenuto    a trasmettere al Distributore competente, per agevolare le iniziative giudiziarie da intraprendere:</w:t>
      </w:r>
    </w:p>
    <w:p w:rsidR="00F17270" w:rsidRDefault="00F17270" w:rsidP="00F17270">
      <w:pPr>
        <w:pStyle w:val="testo"/>
        <w:spacing w:after="0"/>
        <w:jc w:val="both"/>
        <w:rPr>
          <w:lang w:bidi="it-IT"/>
        </w:rPr>
      </w:pPr>
      <w:r>
        <w:rPr>
          <w:lang w:bidi="it-IT"/>
        </w:rPr>
        <w:t>a) copia delle fatture non pagate;</w:t>
      </w:r>
    </w:p>
    <w:p w:rsidR="00F17270" w:rsidRDefault="00F17270" w:rsidP="00F17270">
      <w:pPr>
        <w:pStyle w:val="testo"/>
        <w:spacing w:after="0"/>
        <w:jc w:val="both"/>
        <w:rPr>
          <w:lang w:bidi="it-IT"/>
        </w:rPr>
      </w:pPr>
      <w:r>
        <w:rPr>
          <w:lang w:bidi="it-IT"/>
        </w:rPr>
        <w:t>b) copia della documentazione relativa alla costituzione in mora del cliente finale;</w:t>
      </w:r>
    </w:p>
    <w:p w:rsidR="00F17270" w:rsidRDefault="00F17270" w:rsidP="00F17270">
      <w:pPr>
        <w:pStyle w:val="testo"/>
        <w:spacing w:after="0"/>
        <w:jc w:val="both"/>
        <w:rPr>
          <w:lang w:bidi="it-IT"/>
        </w:rPr>
      </w:pPr>
      <w:r>
        <w:rPr>
          <w:lang w:bidi="it-IT"/>
        </w:rPr>
        <w:t>c) copia della comunicazione con cui il Fornitore ha dichiarato al Cliente finale la risoluzione del Contratto, unitamente alla documentazione attestante la ricezione di tale comunicazione da parte del Cliente;</w:t>
      </w:r>
    </w:p>
    <w:p w:rsidR="00F17270" w:rsidRDefault="00F17270" w:rsidP="00F17270">
      <w:pPr>
        <w:pStyle w:val="testo"/>
        <w:spacing w:after="0"/>
        <w:jc w:val="both"/>
        <w:rPr>
          <w:lang w:bidi="it-IT"/>
        </w:rPr>
      </w:pPr>
      <w:r>
        <w:rPr>
          <w:lang w:bidi="it-IT"/>
        </w:rPr>
        <w:t>d) copia del Contratto (ove disponibile) o, in subordine dell’ultima fattura pagata;</w:t>
      </w:r>
    </w:p>
    <w:p w:rsidR="00F17270" w:rsidRDefault="00F17270" w:rsidP="00F17270">
      <w:pPr>
        <w:pStyle w:val="testo"/>
        <w:spacing w:after="0"/>
        <w:jc w:val="both"/>
        <w:rPr>
          <w:lang w:bidi="it-IT"/>
        </w:rPr>
      </w:pPr>
      <w:r>
        <w:rPr>
          <w:lang w:bidi="it-IT"/>
        </w:rPr>
        <w:t>e) documento di sintesi attestante l’ammontare del credito insoluto, nonché ulteriore documentazione idonea a evidenziare la situazione di morosità del Cliente finale.</w:t>
      </w:r>
    </w:p>
    <w:p w:rsidR="00F17270" w:rsidRDefault="00F17270" w:rsidP="00F17270">
      <w:pPr>
        <w:pStyle w:val="testo"/>
        <w:spacing w:after="0"/>
        <w:jc w:val="both"/>
        <w:rPr>
          <w:lang w:bidi="it-IT"/>
        </w:rPr>
      </w:pPr>
      <w:r>
        <w:rPr>
          <w:lang w:bidi="it-IT"/>
        </w:rPr>
        <w:t>15.11 In caso di inadempimento al Contratto, il Cliente si obbliga a consentire al Distributore di accedere ai locali in cui è ubicato l’impianto di misura al fine di poter disalimentare il Punto di fornitura.</w:t>
      </w:r>
    </w:p>
    <w:p w:rsidR="00F17270" w:rsidRDefault="00F17270" w:rsidP="00F17270">
      <w:pPr>
        <w:pStyle w:val="testo"/>
        <w:spacing w:after="0"/>
        <w:jc w:val="both"/>
        <w:rPr>
          <w:lang w:bidi="it-IT"/>
        </w:rPr>
      </w:pPr>
      <w:r>
        <w:rPr>
          <w:lang w:bidi="it-IT"/>
        </w:rPr>
        <w:lastRenderedPageBreak/>
        <w:t>15.12 Il Cliente ha diritto a ricevere i seguenti indennizzi automatici:</w:t>
      </w:r>
    </w:p>
    <w:p w:rsidR="00F17270" w:rsidRDefault="00F17270" w:rsidP="00F17270">
      <w:pPr>
        <w:pStyle w:val="testo"/>
        <w:spacing w:after="0"/>
        <w:jc w:val="both"/>
        <w:rPr>
          <w:lang w:bidi="it-IT"/>
        </w:rPr>
      </w:pPr>
      <w:r>
        <w:rPr>
          <w:lang w:bidi="it-IT"/>
        </w:rPr>
        <w:t>a) euro 30 (trenta) nel caso in cui, nonostante il mancato invio della comunicazione di costituzione in mora, la fornitura sia stata sospesa per morosità;</w:t>
      </w:r>
    </w:p>
    <w:p w:rsidR="00F17270" w:rsidRDefault="00F17270" w:rsidP="00F17270">
      <w:pPr>
        <w:pStyle w:val="testo"/>
        <w:spacing w:after="0"/>
        <w:jc w:val="both"/>
        <w:rPr>
          <w:lang w:bidi="it-IT"/>
        </w:rPr>
      </w:pPr>
      <w:r>
        <w:rPr>
          <w:lang w:bidi="it-IT"/>
        </w:rPr>
        <w:t>b) euro 20 (venti) nel caso in cui la fornitura sia stata sospesa per morosità, nonostante alternativamente:</w:t>
      </w:r>
    </w:p>
    <w:p w:rsidR="00EC6061" w:rsidRDefault="00EC6061" w:rsidP="00EC6061">
      <w:pPr>
        <w:pStyle w:val="testo"/>
        <w:spacing w:after="0"/>
        <w:jc w:val="both"/>
        <w:rPr>
          <w:lang w:bidi="it-IT"/>
        </w:rPr>
      </w:pPr>
      <w:r>
        <w:rPr>
          <w:lang w:bidi="it-IT"/>
        </w:rPr>
        <w:t>I. il mancato rispetto del termine ultimo entro cui il Cliente è tenuto a provvedere al pagamento;</w:t>
      </w:r>
    </w:p>
    <w:p w:rsidR="00EC6061" w:rsidRDefault="00EC6061" w:rsidP="00EC6061">
      <w:pPr>
        <w:pStyle w:val="testo"/>
        <w:spacing w:after="0"/>
        <w:jc w:val="both"/>
        <w:rPr>
          <w:lang w:bidi="it-IT"/>
        </w:rPr>
      </w:pPr>
      <w:r>
        <w:rPr>
          <w:lang w:bidi="it-IT"/>
        </w:rPr>
        <w:t>II. il mancato rispetto del termine massimo tra la data di emissione della comunicazione di costituzione in mora e la data di consegna al vettore postale, qualora il Fornitore non sia in grado di documentare la data di invio della comunicazione di costituzione in mora;</w:t>
      </w:r>
    </w:p>
    <w:p w:rsidR="00EC6061" w:rsidRDefault="00EC6061" w:rsidP="00EC6061">
      <w:pPr>
        <w:pStyle w:val="testo"/>
        <w:spacing w:after="0"/>
        <w:jc w:val="both"/>
        <w:rPr>
          <w:lang w:bidi="it-IT"/>
        </w:rPr>
      </w:pPr>
      <w:r>
        <w:rPr>
          <w:lang w:bidi="it-IT"/>
        </w:rPr>
        <w:t>III. il mancato rispetto del termine minimo di 3 (tre) giorni tra la data   di scadenza del termine ultimo di paga- mento e la data di richiesta al Distributore per la sospensione della fornitura.</w:t>
      </w:r>
    </w:p>
    <w:p w:rsidR="00EC6061" w:rsidRDefault="00EC6061" w:rsidP="00EC6061">
      <w:pPr>
        <w:pStyle w:val="testo"/>
        <w:spacing w:after="0"/>
        <w:jc w:val="both"/>
        <w:rPr>
          <w:lang w:bidi="it-IT"/>
        </w:rPr>
      </w:pPr>
      <w:r>
        <w:rPr>
          <w:lang w:bidi="it-IT"/>
        </w:rPr>
        <w:t xml:space="preserve">15.13 Nei casi di cui al comma 15.12, al Cliente finale non può essere richiesto il pagamento di alcun ulteriore corrispettivo relativo alla sospensione o alla riattivazione della fornitura. </w:t>
      </w:r>
    </w:p>
    <w:p w:rsidR="00EC6061" w:rsidRDefault="00EC6061" w:rsidP="00EC6061">
      <w:pPr>
        <w:pStyle w:val="testo"/>
        <w:spacing w:after="0"/>
        <w:jc w:val="both"/>
        <w:rPr>
          <w:lang w:bidi="it-IT"/>
        </w:rPr>
      </w:pPr>
      <w:r>
        <w:rPr>
          <w:lang w:bidi="it-IT"/>
        </w:rPr>
        <w:t xml:space="preserve">Articolo 16. Prestazioni di competenza del Distributore </w:t>
      </w:r>
    </w:p>
    <w:p w:rsidR="00EC6061" w:rsidRDefault="00EC6061" w:rsidP="00EC6061">
      <w:pPr>
        <w:pStyle w:val="testo"/>
        <w:spacing w:after="0"/>
        <w:jc w:val="both"/>
        <w:rPr>
          <w:lang w:bidi="it-IT"/>
        </w:rPr>
      </w:pPr>
      <w:r>
        <w:rPr>
          <w:lang w:bidi="it-IT"/>
        </w:rPr>
        <w:t xml:space="preserve">16.1 Su richiesta e per conto del Cliente, in relazione ai Punti di Fornitura oggetto del presente Contratto, il Fornitore richiede al Distributore competente le prestazioni indicate nel RQDG, comprendenti: la verifica del gruppo di misura, lo spostamento del gruppo di misura, subentri e volture, ogni altra prestazione che non rientri tra quelle per cui il Cliente può rivolgersi direttamente al Distributore ai sensi del RQDG. </w:t>
      </w:r>
    </w:p>
    <w:p w:rsidR="00EC6061" w:rsidRDefault="00EC6061" w:rsidP="00EC6061">
      <w:pPr>
        <w:pStyle w:val="testo"/>
        <w:spacing w:after="0"/>
        <w:jc w:val="both"/>
        <w:rPr>
          <w:lang w:bidi="it-IT"/>
        </w:rPr>
      </w:pPr>
      <w:r>
        <w:rPr>
          <w:lang w:bidi="it-IT"/>
        </w:rPr>
        <w:t xml:space="preserve">16.2 Il Cliente riconoscerà al Fornitore, per ciascuna richiesta inoltrata al Distributore competente tramite il Fornitore, l’importo che allo stesso sarà addebitato da quest’ultimo. Nei soli casi relativi alle richieste di voltura, il Cliente riconosce altresì al Fornitore un importo pari a 23 euro IVA esclusa. </w:t>
      </w:r>
    </w:p>
    <w:p w:rsidR="00EC6061" w:rsidRDefault="00EC6061" w:rsidP="00EC6061">
      <w:pPr>
        <w:pStyle w:val="testo"/>
        <w:spacing w:after="0"/>
        <w:jc w:val="both"/>
        <w:rPr>
          <w:lang w:bidi="it-IT"/>
        </w:rPr>
      </w:pPr>
      <w:r>
        <w:rPr>
          <w:lang w:bidi="it-IT"/>
        </w:rPr>
        <w:t>16.3 Il Cliente ha l’obbligo di consentire al Distributore di accedere ai locali dove è ubicato l’impianto di misura qualora l’accesso sia necessario al fine di compiere le prestazioni di cui al presente articolo, o al fine di procedere ad altre attività di competenza del Distributore previste dalla normativa vigente tra cui a titolo esemplificativo e non esaustivo, la verifica degli impianti e degli apparecchi della rete di distribuzione, interventi per guasti e malfunzionamenti degli stessi, la rilevazione del dato di misura. Articolo 17. Sicurezza degli impianti, apparecchiature e verifiche</w:t>
      </w:r>
    </w:p>
    <w:p w:rsidR="00EC6061" w:rsidRDefault="00EC6061" w:rsidP="00EC6061">
      <w:pPr>
        <w:pStyle w:val="testo"/>
        <w:spacing w:after="0"/>
        <w:jc w:val="both"/>
        <w:rPr>
          <w:lang w:bidi="it-IT"/>
        </w:rPr>
      </w:pPr>
      <w:r>
        <w:rPr>
          <w:lang w:bidi="it-IT"/>
        </w:rPr>
        <w:t xml:space="preserve">17.1 1 Si considerano impianti e apparecchi del Cliente quelli situati a valle del misuratore, ossia quelli situati oltre il punto di raccordo di uscita del misuratore stesso. Sono invece del Distributore competente gli impianti ed apparecchi diversi da quelli del Cliente, finalizzati alla fornitura del gas o </w:t>
      </w:r>
      <w:r w:rsidRPr="00EC6061">
        <w:rPr>
          <w:lang w:bidi="it-IT"/>
        </w:rPr>
        <w:t>dell’energia elettrica</w:t>
      </w:r>
      <w:r>
        <w:rPr>
          <w:lang w:bidi="it-IT"/>
        </w:rPr>
        <w:t>.</w:t>
      </w:r>
    </w:p>
    <w:p w:rsidR="00EC6061" w:rsidRDefault="00EC6061" w:rsidP="00EC6061">
      <w:pPr>
        <w:pStyle w:val="testo"/>
        <w:spacing w:after="0"/>
        <w:jc w:val="both"/>
        <w:rPr>
          <w:lang w:bidi="it-IT"/>
        </w:rPr>
      </w:pPr>
      <w:r>
        <w:rPr>
          <w:lang w:bidi="it-IT"/>
        </w:rPr>
        <w:t>17.2 Gli impianti e apparecchi del Cliente devono rispettare le norme di legge e di sicurezza e il loro utilizzo non deve provocare disfunzioni alla rete di distribuzione a cui sono connessi. A tal fine il Distributore può effettuare controlli sugli impianti del Cliente in caso di accertate irregolarità, che costituiscano situazioni oggettive di pericolo, e ha facoltà di sospendere la fornitura, finché il Cliente non abbia normalizzato la situazione.</w:t>
      </w:r>
    </w:p>
    <w:p w:rsidR="00EC6061" w:rsidRDefault="00EC6061" w:rsidP="00EC6061">
      <w:pPr>
        <w:pStyle w:val="testo"/>
        <w:spacing w:after="0"/>
        <w:jc w:val="both"/>
        <w:rPr>
          <w:lang w:bidi="it-IT"/>
        </w:rPr>
      </w:pPr>
      <w:r>
        <w:rPr>
          <w:lang w:bidi="it-IT"/>
        </w:rPr>
        <w:t>17.3 Il Cliente è responsabile della conservazione e della integrità degli impianti e degli apparecchi del Distributore situati presso lo stesso Cliente e si impegna a comunicare tempestivamente al Fornitore qualsiasi evento che possa comportare un’erronea rilevazione dei consumi. Il misuratore non potrà essere modificato, rimosso o spostato dal Cliente, se non per disposizione del Distributore ed esclusivamente per mezzo dei suoi incaricati.</w:t>
      </w:r>
    </w:p>
    <w:p w:rsidR="00EC6061" w:rsidRDefault="00EC6061" w:rsidP="00EC6061">
      <w:pPr>
        <w:pStyle w:val="testo"/>
        <w:spacing w:after="0"/>
        <w:jc w:val="both"/>
        <w:rPr>
          <w:lang w:bidi="it-IT"/>
        </w:rPr>
      </w:pPr>
      <w:r>
        <w:rPr>
          <w:lang w:bidi="it-IT"/>
        </w:rPr>
        <w:t xml:space="preserve">Articolo 18. Forza maggiore </w:t>
      </w:r>
    </w:p>
    <w:p w:rsidR="00EC6061" w:rsidRDefault="00EC6061" w:rsidP="00EC6061">
      <w:pPr>
        <w:pStyle w:val="testo"/>
        <w:spacing w:after="0"/>
        <w:jc w:val="both"/>
        <w:rPr>
          <w:lang w:bidi="it-IT"/>
        </w:rPr>
      </w:pPr>
      <w:r>
        <w:rPr>
          <w:lang w:bidi="it-IT"/>
        </w:rPr>
        <w:t>18.1 Le Parti non sono responsabili per gli inadempimenti dovuti a cause di Forza maggiore.</w:t>
      </w:r>
    </w:p>
    <w:p w:rsidR="00EC6061" w:rsidRDefault="00EC6061" w:rsidP="00EC6061">
      <w:pPr>
        <w:pStyle w:val="testo"/>
        <w:spacing w:after="0"/>
        <w:jc w:val="both"/>
        <w:rPr>
          <w:lang w:bidi="it-IT"/>
        </w:rPr>
      </w:pPr>
      <w:r>
        <w:rPr>
          <w:lang w:bidi="it-IT"/>
        </w:rPr>
        <w:t>18.2 Qualora si verifichi una causa di Forza maggiore, la Parte il cui adempimento è divenuto impossibile ne deve dare comunicazione all’altra, senza ritardo, specificando la data di decorrenza e la durata prevista dell’interruzione o dell’inadempimento, totale o parziale, e la natura della causa di Forza maggiore.</w:t>
      </w:r>
    </w:p>
    <w:p w:rsidR="00EC6061" w:rsidRDefault="00EC6061" w:rsidP="00EC6061">
      <w:pPr>
        <w:pStyle w:val="testo"/>
        <w:spacing w:after="0"/>
        <w:jc w:val="both"/>
        <w:rPr>
          <w:lang w:bidi="it-IT"/>
        </w:rPr>
      </w:pPr>
      <w:r>
        <w:rPr>
          <w:lang w:bidi="it-IT"/>
        </w:rPr>
        <w:t>18.3 Venuta meno la causa di Forza maggiore, la Parte riprende il regolare adempimento delle proprie obbligazioni dandone comunicazione all’altra Parte.</w:t>
      </w:r>
    </w:p>
    <w:p w:rsidR="00EC6061" w:rsidRDefault="00EC6061" w:rsidP="00EC6061">
      <w:pPr>
        <w:pStyle w:val="testo"/>
        <w:spacing w:after="0"/>
        <w:jc w:val="both"/>
        <w:rPr>
          <w:lang w:bidi="it-IT"/>
        </w:rPr>
      </w:pPr>
      <w:r>
        <w:rPr>
          <w:lang w:bidi="it-IT"/>
        </w:rPr>
        <w:t>Articolo 19. Limitazione di responsabilità</w:t>
      </w:r>
    </w:p>
    <w:p w:rsidR="00EC6061" w:rsidRDefault="00EC6061" w:rsidP="00EC6061">
      <w:pPr>
        <w:pStyle w:val="testo"/>
        <w:spacing w:after="0"/>
        <w:jc w:val="both"/>
        <w:rPr>
          <w:lang w:bidi="it-IT"/>
        </w:rPr>
      </w:pPr>
      <w:r>
        <w:rPr>
          <w:lang w:bidi="it-IT"/>
        </w:rPr>
        <w:t xml:space="preserve">19.1 Le caratteristiche della fornitura potranno essere oggetto di variazione nei limiti delle norme e disposizioni vigenti in materia. Inoltre, la fornitura potrà essere interrotta temporaneamente, in tutto o in parte, dai gestori di rete competenti per: cause di oggettivo pericolo, ragioni di </w:t>
      </w:r>
      <w:proofErr w:type="gramStart"/>
      <w:r>
        <w:rPr>
          <w:lang w:bidi="it-IT"/>
        </w:rPr>
        <w:t>servizio  (</w:t>
      </w:r>
      <w:proofErr w:type="gramEnd"/>
      <w:r>
        <w:rPr>
          <w:lang w:bidi="it-IT"/>
        </w:rPr>
        <w:t xml:space="preserve">a titolo esemplificativo e non esaustivo: manutenzione, riparazione dei guasti sugli </w:t>
      </w:r>
      <w:r>
        <w:rPr>
          <w:lang w:bidi="it-IT"/>
        </w:rPr>
        <w:t>impianti di distribuzione, ampliamento, miglioramento o avanzamento tecnologico degli impianti stessi) e per motivi di sicurezza del sistema.</w:t>
      </w:r>
    </w:p>
    <w:p w:rsidR="00D032AB" w:rsidRDefault="00EC6061" w:rsidP="00D032AB">
      <w:pPr>
        <w:pStyle w:val="testo"/>
        <w:spacing w:after="0"/>
        <w:jc w:val="both"/>
        <w:rPr>
          <w:lang w:bidi="it-IT"/>
        </w:rPr>
      </w:pPr>
      <w:r>
        <w:rPr>
          <w:lang w:bidi="it-IT"/>
        </w:rPr>
        <w:t xml:space="preserve">19.2 In ogni caso, il Fornitore, in qualità di cliente grossista e, pertanto, estraneo all’attività di distribuzione, non potrà rispondere per la eventuale non conformità del gas naturale alle caratteristiche stabilite dal Distributore, ovvero per disservizi o manutenzioni degli elementi di rete. Il </w:t>
      </w:r>
      <w:r w:rsidR="00D032AB">
        <w:rPr>
          <w:lang w:bidi="it-IT"/>
        </w:rPr>
        <w:t xml:space="preserve">Fornitore non potrà essere ritenuto responsabile neanche delle predette interruzioni che, al pari di quelle dovute a cause accidentali, di forza maggiore o comunque non imputabili al Fornitore, non comporteranno l’obbligo di indennizzo o risarcimento del Cliente a carico del Fornitore né potranno costituire motivo di risoluzione del Contratto. 19.3 Il Fornitore non risponderà altresì di alcun danno che possa derivare da guasti o da irregolare funzionamento degli impianti del Cliente o del Distributore e guasti del misuratore. Il Cliente non potrà vantare alcun rimborso per eventuali dispersioni di gas naturale avvenute a valle del misuratore. 19.4 Il Fornitore non potrà in alcun caso essere ritenuto responsabile per incidenti di qualsiasi tipo, quali a titolo di esempio, incendi o esplosioni occorsi al Cliente o a terzi, in conseguenza dell’uso improprio del gas naturale o per la mancata osservanza delle migliori regole di prudenza e sicurezza. </w:t>
      </w:r>
    </w:p>
    <w:p w:rsidR="00D032AB" w:rsidRDefault="00D032AB" w:rsidP="00D032AB">
      <w:pPr>
        <w:pStyle w:val="testo"/>
        <w:spacing w:after="0"/>
        <w:jc w:val="both"/>
        <w:rPr>
          <w:lang w:bidi="it-IT"/>
        </w:rPr>
      </w:pPr>
      <w:r>
        <w:rPr>
          <w:lang w:bidi="it-IT"/>
        </w:rPr>
        <w:t xml:space="preserve">Articolo 20. Clausola risolutiva espressa </w:t>
      </w:r>
    </w:p>
    <w:p w:rsidR="00D032AB" w:rsidRDefault="00D032AB" w:rsidP="00D032AB">
      <w:pPr>
        <w:pStyle w:val="testo"/>
        <w:spacing w:after="0"/>
        <w:jc w:val="both"/>
        <w:rPr>
          <w:lang w:bidi="it-IT"/>
        </w:rPr>
      </w:pPr>
      <w:r>
        <w:rPr>
          <w:lang w:bidi="it-IT"/>
        </w:rPr>
        <w:t xml:space="preserve">20.1 Ai sensi e per gli effetti di cui all’art.1456 del Codice Civile, il presente Contratto potrà essere risolto dal Fornitore, previa comunicazione scritta al Cliente finale, nei seguenti casi: comunicazione di dati e informazioni incomplete e/o non veritiere da parte del Cliente; omesso, parziale o ritardato pagamento di anche solo una fattura, fermo restando quanto previsto all’art. 15 delle presenti Condizioni Generali di fornitura; qualora il Fornitore abbia sospeso la fornitura per altra causa imputabile al Cliente e quest’ultimo non abbia provveduto a regolarizzare la sua posizione entro 10 (dieci) giorni dal ricevimento della relativa diffida da parte del Fornitore; </w:t>
      </w:r>
    </w:p>
    <w:p w:rsidR="00D032AB" w:rsidRDefault="00D032AB" w:rsidP="00D032AB">
      <w:pPr>
        <w:pStyle w:val="testo"/>
        <w:spacing w:after="0"/>
        <w:jc w:val="both"/>
        <w:rPr>
          <w:lang w:bidi="it-IT"/>
        </w:rPr>
      </w:pPr>
      <w:r>
        <w:rPr>
          <w:lang w:bidi="it-IT"/>
        </w:rPr>
        <w:t xml:space="preserve">   Articolo 21. Livelli di qualità, reclami e richieste di informazioni </w:t>
      </w:r>
    </w:p>
    <w:p w:rsidR="00D032AB" w:rsidRDefault="00D032AB" w:rsidP="00D032AB">
      <w:pPr>
        <w:pStyle w:val="testo"/>
        <w:spacing w:after="0"/>
        <w:jc w:val="both"/>
        <w:rPr>
          <w:lang w:bidi="it-IT"/>
        </w:rPr>
      </w:pPr>
      <w:r>
        <w:rPr>
          <w:lang w:bidi="it-IT"/>
        </w:rPr>
        <w:t xml:space="preserve">21.1 Il Fornitore si impegna al rispetto dei livelli specifici e generali di qualità come fissati dall’ARERA nei propri provvedimenti (TIQV) e a corrispondere gli indennizzi automatici previsti, così come riportato nella Informativa sui livelli specifici e generali di qualità. </w:t>
      </w:r>
    </w:p>
    <w:p w:rsidR="00D032AB" w:rsidRDefault="00D032AB" w:rsidP="00D032AB">
      <w:pPr>
        <w:pStyle w:val="testo"/>
        <w:spacing w:after="0"/>
        <w:jc w:val="both"/>
        <w:rPr>
          <w:lang w:bidi="it-IT"/>
        </w:rPr>
      </w:pPr>
      <w:r>
        <w:rPr>
          <w:lang w:bidi="it-IT"/>
        </w:rPr>
        <w:t xml:space="preserve">21.2 Eventuali reclami scritti e richieste di informazioni potranno essere inoltrati dal Cliente al Fornitore utilizzando l’apposito modulo allegato al presente Contratto e altresì scaricabile all’indirizzo www.auricaenergia. </w:t>
      </w:r>
      <w:proofErr w:type="spellStart"/>
      <w:r>
        <w:rPr>
          <w:lang w:bidi="it-IT"/>
        </w:rPr>
        <w:t>com</w:t>
      </w:r>
      <w:proofErr w:type="spellEnd"/>
      <w:r>
        <w:rPr>
          <w:lang w:bidi="it-IT"/>
        </w:rPr>
        <w:t xml:space="preserve">. </w:t>
      </w:r>
    </w:p>
    <w:p w:rsidR="00D032AB" w:rsidRDefault="00D032AB" w:rsidP="00D032AB">
      <w:pPr>
        <w:pStyle w:val="testo"/>
        <w:spacing w:after="0"/>
        <w:jc w:val="both"/>
        <w:rPr>
          <w:lang w:bidi="it-IT"/>
        </w:rPr>
      </w:pPr>
      <w:r>
        <w:rPr>
          <w:lang w:bidi="it-IT"/>
        </w:rPr>
        <w:t xml:space="preserve">21.3 Il Fornitore provvederà a fornire al Cliente una risposta scritta motivata entro i termini previsti dalla regolazione vigente (TIQV). </w:t>
      </w:r>
    </w:p>
    <w:p w:rsidR="00D032AB" w:rsidRDefault="00D032AB" w:rsidP="00D032AB">
      <w:pPr>
        <w:pStyle w:val="testo"/>
        <w:spacing w:after="0"/>
        <w:jc w:val="both"/>
        <w:rPr>
          <w:lang w:bidi="it-IT"/>
        </w:rPr>
      </w:pPr>
      <w:r>
        <w:rPr>
          <w:lang w:bidi="it-IT"/>
        </w:rPr>
        <w:t xml:space="preserve">21.4 Se non viene utilizzato l’apposito modulo allegato al presente Contratto, la comunicazione dovrà contenere i seguenti dati minimi necessari: nome e cognome; indirizzo di fornitura; indirizzo postale, se diverso da quello di fornitura, o telematico; servizio a cui si riferisce il reclamo (gas); il motivo del reclamo; indicazione del Punto di fornitura (codice PDR) o, qualora non sia disponibile, il codice cliente; un’indicazione sintetica dei fatti contestati. </w:t>
      </w:r>
    </w:p>
    <w:p w:rsidR="00D032AB" w:rsidRDefault="00D032AB" w:rsidP="00D032AB">
      <w:pPr>
        <w:pStyle w:val="testo"/>
        <w:spacing w:after="0"/>
        <w:jc w:val="both"/>
        <w:rPr>
          <w:lang w:bidi="it-IT"/>
        </w:rPr>
      </w:pPr>
      <w:r>
        <w:rPr>
          <w:lang w:bidi="it-IT"/>
        </w:rPr>
        <w:t xml:space="preserve">Articolo 22. Assicurazione clienti finali gas </w:t>
      </w:r>
    </w:p>
    <w:p w:rsidR="00D032AB" w:rsidRDefault="00D032AB" w:rsidP="00D032AB">
      <w:pPr>
        <w:pStyle w:val="testo"/>
        <w:spacing w:after="0"/>
        <w:jc w:val="both"/>
        <w:rPr>
          <w:lang w:bidi="it-IT"/>
        </w:rPr>
      </w:pPr>
      <w:r>
        <w:rPr>
          <w:lang w:bidi="it-IT"/>
        </w:rPr>
        <w:t xml:space="preserve">22.1 I Clienti finali che utilizzano il gas naturale fornito a mezzo di un impianto di distribuzione o di una rete di trasporto sono garantiti da un contratto di assicurazione stipulato dal Comitato Italiano Gas (CIG) contro gli incidenti da gas. La copertura assicurativa è valida su tutto il territorio nazionale. </w:t>
      </w:r>
    </w:p>
    <w:p w:rsidR="00D032AB" w:rsidRDefault="00D032AB" w:rsidP="00D032AB">
      <w:pPr>
        <w:pStyle w:val="testo"/>
        <w:spacing w:after="0"/>
        <w:jc w:val="both"/>
        <w:rPr>
          <w:lang w:bidi="it-IT"/>
        </w:rPr>
      </w:pPr>
      <w:r>
        <w:rPr>
          <w:lang w:bidi="it-IT"/>
        </w:rPr>
        <w:t xml:space="preserve">22.2 Per ulteriori dettagli in merito alla copertura assicurativa e alla modulistica da utilizzare per la denuncia di un eventuale sinistro si può contattare lo Sportello per il consumatore Energia e Ambiente al numero verde 800.166.654 o si può fare riferimento alle modalità indicate sul sito internet www.arera.it. </w:t>
      </w:r>
    </w:p>
    <w:p w:rsidR="00D032AB" w:rsidRDefault="00D032AB" w:rsidP="00D032AB">
      <w:pPr>
        <w:pStyle w:val="testo"/>
        <w:spacing w:after="0"/>
        <w:jc w:val="both"/>
        <w:rPr>
          <w:lang w:bidi="it-IT"/>
        </w:rPr>
      </w:pPr>
      <w:r>
        <w:rPr>
          <w:lang w:bidi="it-IT"/>
        </w:rPr>
        <w:t xml:space="preserve">22.3 Copia della polizza di assicurazione e del modulo per la denuncia del sinistro sono disponibili sul sito internet del Fornitore. </w:t>
      </w:r>
    </w:p>
    <w:p w:rsidR="00D032AB" w:rsidRDefault="00D032AB" w:rsidP="00D032AB">
      <w:pPr>
        <w:pStyle w:val="testo"/>
        <w:spacing w:after="0"/>
        <w:jc w:val="both"/>
        <w:rPr>
          <w:lang w:bidi="it-IT"/>
        </w:rPr>
      </w:pPr>
      <w:r>
        <w:rPr>
          <w:lang w:bidi="it-IT"/>
        </w:rPr>
        <w:t xml:space="preserve">Articolo 23. Integrazione del contratto </w:t>
      </w:r>
    </w:p>
    <w:p w:rsidR="00D032AB" w:rsidRDefault="00D032AB" w:rsidP="00D032AB">
      <w:pPr>
        <w:pStyle w:val="testo"/>
        <w:spacing w:after="0"/>
        <w:jc w:val="both"/>
        <w:rPr>
          <w:lang w:bidi="it-IT"/>
        </w:rPr>
      </w:pPr>
      <w:r>
        <w:rPr>
          <w:lang w:bidi="it-IT"/>
        </w:rPr>
        <w:t xml:space="preserve">23.1 Sono recepite di diritto nel Contratto le disposizioni, suscettibili di inserimento automatico, imposte da leggi o provvedimenti di pubbliche autorità, inclusa l’ARERA, che comportino modifiche o integrazioni alle presenti condizioni generali di fornitura. </w:t>
      </w:r>
    </w:p>
    <w:p w:rsidR="00EC6061" w:rsidRDefault="00D032AB" w:rsidP="00D032AB">
      <w:pPr>
        <w:pStyle w:val="testo"/>
        <w:spacing w:after="0"/>
        <w:jc w:val="both"/>
        <w:rPr>
          <w:lang w:bidi="it-IT"/>
        </w:rPr>
      </w:pPr>
      <w:r>
        <w:rPr>
          <w:lang w:bidi="it-IT"/>
        </w:rPr>
        <w:t>23.2 Il Fornitore provvede alle modifiche e alle integrazioni imposte da leggi o provvedimenti di pubbliche autorità, inclusa l’ARERA, che non siano suscettibili di inserimento automatico, dandone tempestiva comunicazione al Cliente, fermo restando il diritto di recesso di quest’ultimo.</w:t>
      </w:r>
    </w:p>
    <w:p w:rsidR="00D032AB" w:rsidRDefault="00D032AB" w:rsidP="00D032AB">
      <w:pPr>
        <w:pStyle w:val="testo"/>
        <w:spacing w:after="0"/>
        <w:jc w:val="both"/>
        <w:rPr>
          <w:lang w:bidi="it-IT"/>
        </w:rPr>
      </w:pPr>
      <w:r>
        <w:rPr>
          <w:lang w:bidi="it-IT"/>
        </w:rPr>
        <w:t xml:space="preserve">Articolo 24. Cessione del contratto </w:t>
      </w:r>
    </w:p>
    <w:p w:rsidR="00D032AB" w:rsidRDefault="00D032AB" w:rsidP="00D032AB">
      <w:pPr>
        <w:pStyle w:val="testo"/>
        <w:spacing w:after="0"/>
        <w:jc w:val="both"/>
        <w:rPr>
          <w:lang w:bidi="it-IT"/>
        </w:rPr>
      </w:pPr>
      <w:r>
        <w:rPr>
          <w:lang w:bidi="it-IT"/>
        </w:rPr>
        <w:t xml:space="preserve">24.1 Il Cliente acconsente fin d’ora alla cessione del Contratto da parte del Fornitore ad altra impresa ovvero altra Società del Gruppo abilitata alla fornitura di gas naturale. Nel caso di cessione d’azienda o del ramo d’azienda da parte del Fornitore rimane ferma l’applicazione dell’articolo 2558 </w:t>
      </w:r>
      <w:proofErr w:type="gramStart"/>
      <w:r>
        <w:rPr>
          <w:lang w:bidi="it-IT"/>
        </w:rPr>
        <w:t>c.c..</w:t>
      </w:r>
      <w:proofErr w:type="gramEnd"/>
      <w:r>
        <w:rPr>
          <w:lang w:bidi="it-IT"/>
        </w:rPr>
        <w:t xml:space="preserve"> </w:t>
      </w:r>
    </w:p>
    <w:p w:rsidR="00D032AB" w:rsidRDefault="00D032AB" w:rsidP="00D032AB">
      <w:pPr>
        <w:pStyle w:val="testo"/>
        <w:spacing w:after="0"/>
        <w:jc w:val="both"/>
        <w:rPr>
          <w:lang w:bidi="it-IT"/>
        </w:rPr>
      </w:pPr>
      <w:r>
        <w:rPr>
          <w:lang w:bidi="it-IT"/>
        </w:rPr>
        <w:lastRenderedPageBreak/>
        <w:t xml:space="preserve">24.2 La cessione sarà efficace nei confronti del Cliente dalla ricezione della relativa comunicazione scritta inviata tempestivamente dal Fornitore Resta inteso che dalla cessione non deriveranno aggravio di costi o condizioni meno favorevoli per il Cliente. </w:t>
      </w:r>
    </w:p>
    <w:p w:rsidR="00D032AB" w:rsidRDefault="00D032AB" w:rsidP="00D032AB">
      <w:pPr>
        <w:pStyle w:val="testo"/>
        <w:spacing w:after="0"/>
        <w:jc w:val="both"/>
        <w:rPr>
          <w:lang w:bidi="it-IT"/>
        </w:rPr>
      </w:pPr>
      <w:r>
        <w:rPr>
          <w:lang w:bidi="it-IT"/>
        </w:rPr>
        <w:t xml:space="preserve">Articolo 25. Comunicazioni </w:t>
      </w:r>
    </w:p>
    <w:p w:rsidR="00D032AB" w:rsidRDefault="00D032AB" w:rsidP="00D032AB">
      <w:pPr>
        <w:pStyle w:val="testo"/>
        <w:spacing w:after="0"/>
        <w:jc w:val="both"/>
        <w:rPr>
          <w:lang w:bidi="it-IT"/>
        </w:rPr>
      </w:pPr>
      <w:r>
        <w:rPr>
          <w:lang w:bidi="it-IT"/>
        </w:rPr>
        <w:t xml:space="preserve">25.1 Tutte le comunicazioni relative al Contratto devono essere effettuate con le modalità di seguito indicate: </w:t>
      </w:r>
    </w:p>
    <w:p w:rsidR="00D032AB" w:rsidRDefault="00D032AB" w:rsidP="00D032AB">
      <w:pPr>
        <w:pStyle w:val="testo"/>
        <w:spacing w:after="0"/>
        <w:jc w:val="both"/>
        <w:rPr>
          <w:lang w:bidi="it-IT"/>
        </w:rPr>
      </w:pPr>
      <w:r>
        <w:rPr>
          <w:lang w:bidi="it-IT"/>
        </w:rPr>
        <w:t xml:space="preserve">Pagamenti in caso di avvenuta sospensione della fornitura per morosità: fax al numero 0374 341838 o indirizzo mail contratti@auricaenergia.com Pagamenti non in caso di sospensione per morosità: 02.36512030 o indirizzo mail contratti@auricaenergia.com; Recessi Gas Naturale: contratti@auricaenergia.com </w:t>
      </w:r>
    </w:p>
    <w:p w:rsidR="00D032AB" w:rsidRDefault="00D032AB" w:rsidP="00D032AB">
      <w:pPr>
        <w:pStyle w:val="testo"/>
        <w:spacing w:after="0"/>
        <w:jc w:val="both"/>
        <w:rPr>
          <w:lang w:bidi="it-IT"/>
        </w:rPr>
      </w:pPr>
      <w:r>
        <w:rPr>
          <w:lang w:bidi="it-IT"/>
        </w:rPr>
        <w:t xml:space="preserve">Reclami/richieste di informazioni: fax al numero 0374. 341838 o all’indirizzo email contratti@auricaenergia.com </w:t>
      </w:r>
    </w:p>
    <w:p w:rsidR="00D032AB" w:rsidRDefault="00D032AB" w:rsidP="00D032AB">
      <w:pPr>
        <w:pStyle w:val="testo"/>
        <w:spacing w:after="0"/>
        <w:jc w:val="both"/>
        <w:rPr>
          <w:lang w:bidi="it-IT"/>
        </w:rPr>
      </w:pPr>
      <w:r>
        <w:rPr>
          <w:lang w:bidi="it-IT"/>
        </w:rPr>
        <w:t xml:space="preserve">25.2 Il Fornitore si riserva di inviare le comunicazioni anche con nota in fattura. </w:t>
      </w:r>
    </w:p>
    <w:p w:rsidR="00D032AB" w:rsidRDefault="00D032AB" w:rsidP="00D032AB">
      <w:pPr>
        <w:pStyle w:val="testo"/>
        <w:spacing w:after="0"/>
        <w:jc w:val="both"/>
        <w:rPr>
          <w:lang w:bidi="it-IT"/>
        </w:rPr>
      </w:pPr>
      <w:r>
        <w:rPr>
          <w:lang w:bidi="it-IT"/>
        </w:rPr>
        <w:t xml:space="preserve">25.3 Restano salve le disposizioni di cui al Contratto che prevedono una specifica modalità di invio delle comunicazioni. </w:t>
      </w:r>
    </w:p>
    <w:p w:rsidR="00D032AB" w:rsidRDefault="00D032AB" w:rsidP="00D032AB">
      <w:pPr>
        <w:pStyle w:val="testo"/>
        <w:spacing w:after="0"/>
        <w:jc w:val="both"/>
        <w:rPr>
          <w:lang w:bidi="it-IT"/>
        </w:rPr>
      </w:pPr>
      <w:r>
        <w:rPr>
          <w:lang w:bidi="it-IT"/>
        </w:rPr>
        <w:t xml:space="preserve">Articolo 26. Legge applicabile e foro competente </w:t>
      </w:r>
    </w:p>
    <w:p w:rsidR="00D032AB" w:rsidRDefault="00D032AB" w:rsidP="00D032AB">
      <w:pPr>
        <w:pStyle w:val="testo"/>
        <w:spacing w:after="0"/>
        <w:jc w:val="both"/>
        <w:rPr>
          <w:lang w:bidi="it-IT"/>
        </w:rPr>
      </w:pPr>
      <w:r>
        <w:rPr>
          <w:lang w:bidi="it-IT"/>
        </w:rPr>
        <w:t xml:space="preserve">26.1 La legge applicabile al contratto è quella italiana. Per ogni controversia originata dal presente Contratto o a esso connessa è competente in via esclusiva il Foro del luogo di residenza o del domicilio eletto dal Cliente stesso nel territorio italiano. </w:t>
      </w:r>
    </w:p>
    <w:p w:rsidR="00D032AB" w:rsidRDefault="00D032AB" w:rsidP="00D032AB">
      <w:pPr>
        <w:pStyle w:val="testo"/>
        <w:spacing w:after="0"/>
        <w:jc w:val="both"/>
        <w:rPr>
          <w:lang w:bidi="it-IT"/>
        </w:rPr>
      </w:pPr>
      <w:r>
        <w:rPr>
          <w:lang w:bidi="it-IT"/>
        </w:rPr>
        <w:t xml:space="preserve">Articolo 27. Risoluzione extra-giudiziale delle controversie </w:t>
      </w:r>
    </w:p>
    <w:p w:rsidR="00D032AB" w:rsidRDefault="00D032AB" w:rsidP="00D032AB">
      <w:pPr>
        <w:pStyle w:val="testo"/>
        <w:spacing w:after="0"/>
        <w:jc w:val="both"/>
        <w:rPr>
          <w:lang w:bidi="it-IT"/>
        </w:rPr>
      </w:pPr>
      <w:r>
        <w:rPr>
          <w:lang w:bidi="it-IT"/>
        </w:rPr>
        <w:t xml:space="preserve">27.1 Il Cliente che, in relazione al Contratto, abbia presentato un reclamo al quale il Fornitore non abbia risposto o abbia fornito una risposta ritenuta insoddisfacente, può attivare gratuitamente la procedura di conciliazione presso il Servizio Conciliazione dell’Autorità (www.arera.it/it/consumatori/ conciliazione.html) o, in alternativa, presso i seguenti organismi di risoluzione delle controversie. </w:t>
      </w:r>
    </w:p>
    <w:p w:rsidR="00D032AB" w:rsidRDefault="00D032AB" w:rsidP="00D032AB">
      <w:pPr>
        <w:pStyle w:val="testo"/>
        <w:spacing w:after="0"/>
        <w:jc w:val="both"/>
        <w:rPr>
          <w:lang w:bidi="it-IT"/>
        </w:rPr>
      </w:pPr>
      <w:r>
        <w:rPr>
          <w:lang w:bidi="it-IT"/>
        </w:rPr>
        <w:t xml:space="preserve">27.2 L’esperimento del tentativo di conciliazione secondo le modalità previste dal TICO è condizione di procedibilità dell’azione giudiziaria. Articolo 28. Dati personali </w:t>
      </w:r>
    </w:p>
    <w:p w:rsidR="00D032AB" w:rsidRPr="00F87B65" w:rsidRDefault="00D032AB" w:rsidP="00D032AB">
      <w:pPr>
        <w:pStyle w:val="testo"/>
        <w:spacing w:after="0"/>
        <w:jc w:val="both"/>
        <w:rPr>
          <w:lang w:bidi="it-IT"/>
        </w:rPr>
      </w:pPr>
      <w:r>
        <w:rPr>
          <w:lang w:bidi="it-IT"/>
        </w:rPr>
        <w:t>28.1 I dati personali forniti dal Cliente al Fornitore ai fini dell’esecuzione del Contratto, o di cui comunque il Fornitore entri in possesso, sono trattati in conformità alla disciplina prevista dal Codice in materia di protezione dei dati personali come indicato nel modulo relativo all’informativa sul trattamento dei dati personali.</w:t>
      </w:r>
    </w:p>
    <w:sectPr w:rsidR="00D032AB" w:rsidRPr="00F87B65" w:rsidSect="000B68EF">
      <w:headerReference w:type="default" r:id="rId8"/>
      <w:footerReference w:type="default" r:id="rId9"/>
      <w:pgSz w:w="11906" w:h="16838"/>
      <w:pgMar w:top="720" w:right="720" w:bottom="720" w:left="720" w:header="708" w:footer="17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11D" w:rsidRDefault="0033711D" w:rsidP="00874712">
      <w:pPr>
        <w:spacing w:after="0" w:line="240" w:lineRule="auto"/>
      </w:pPr>
      <w:r>
        <w:separator/>
      </w:r>
    </w:p>
  </w:endnote>
  <w:endnote w:type="continuationSeparator" w:id="0">
    <w:p w:rsidR="0033711D" w:rsidRDefault="0033711D" w:rsidP="00874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URW DIN">
    <w:altName w:val="Calibri"/>
    <w:panose1 w:val="00000500000000000000"/>
    <w:charset w:val="00"/>
    <w:family w:val="modern"/>
    <w:notTrueType/>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URW DIN Cond">
    <w:altName w:val="Calibri"/>
    <w:panose1 w:val="00000500000000000000"/>
    <w:charset w:val="00"/>
    <w:family w:val="modern"/>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tblInd w:w="-10" w:type="dxa"/>
      <w:tblBorders>
        <w:top w:val="single" w:sz="8" w:space="0" w:color="FFC000"/>
        <w:left w:val="single" w:sz="8" w:space="0" w:color="FFFFFF" w:themeColor="background1"/>
        <w:bottom w:val="single" w:sz="8" w:space="0" w:color="FFFFFF" w:themeColor="background1"/>
        <w:right w:val="single" w:sz="8" w:space="0" w:color="FFFFFF" w:themeColor="background1"/>
        <w:insideH w:val="none" w:sz="0" w:space="0" w:color="auto"/>
        <w:insideV w:val="none" w:sz="0" w:space="0" w:color="auto"/>
      </w:tblBorders>
      <w:shd w:val="clear" w:color="auto" w:fill="FFFFFF" w:themeFill="background1"/>
      <w:tblLook w:val="04A0" w:firstRow="1" w:lastRow="0" w:firstColumn="1" w:lastColumn="0" w:noHBand="0" w:noVBand="1"/>
    </w:tblPr>
    <w:tblGrid>
      <w:gridCol w:w="10450"/>
    </w:tblGrid>
    <w:tr w:rsidR="00890A72" w:rsidRPr="000B68EF" w:rsidTr="000B68EF">
      <w:trPr>
        <w:trHeight w:val="237"/>
      </w:trPr>
      <w:tc>
        <w:tcPr>
          <w:tcW w:w="10450" w:type="dxa"/>
          <w:shd w:val="clear" w:color="auto" w:fill="FFFFFF" w:themeFill="background1"/>
          <w:vAlign w:val="center"/>
        </w:tcPr>
        <w:p w:rsidR="000B68EF" w:rsidRDefault="00890A72" w:rsidP="00890A72">
          <w:pPr>
            <w:pStyle w:val="Pidipagina"/>
            <w:jc w:val="center"/>
            <w:rPr>
              <w:rFonts w:ascii="URW DIN" w:hAnsi="URW DIN"/>
              <w:sz w:val="14"/>
              <w:szCs w:val="14"/>
            </w:rPr>
          </w:pPr>
          <w:r w:rsidRPr="000B68EF">
            <w:rPr>
              <w:rFonts w:ascii="URW DIN" w:hAnsi="URW DIN"/>
              <w:sz w:val="14"/>
              <w:szCs w:val="14"/>
            </w:rPr>
            <w:t xml:space="preserve">AURICA S.R.L. - </w:t>
          </w:r>
          <w:r w:rsidRPr="000B68EF">
            <w:rPr>
              <w:rFonts w:ascii="URW DIN" w:hAnsi="URW DIN" w:cstheme="minorHAnsi"/>
              <w:color w:val="000000" w:themeColor="text1"/>
              <w:sz w:val="14"/>
              <w:szCs w:val="14"/>
            </w:rPr>
            <w:t>Via Marco D’</w:t>
          </w:r>
          <w:r w:rsidRPr="000B68EF">
            <w:rPr>
              <w:rFonts w:ascii="URW DIN" w:hAnsi="URW DIN"/>
              <w:sz w:val="14"/>
              <w:szCs w:val="14"/>
            </w:rPr>
            <w:t>A</w:t>
          </w:r>
          <w:r w:rsidRPr="000B68EF">
            <w:rPr>
              <w:rFonts w:ascii="URW DIN" w:hAnsi="URW DIN" w:cstheme="minorHAnsi"/>
              <w:color w:val="000000" w:themeColor="text1"/>
              <w:sz w:val="14"/>
              <w:szCs w:val="14"/>
            </w:rPr>
            <w:t xml:space="preserve">viano 2 - Milano (MI) 20131 </w:t>
          </w:r>
          <w:proofErr w:type="gramStart"/>
          <w:r w:rsidRPr="000B68EF">
            <w:rPr>
              <w:rFonts w:ascii="URW DIN" w:hAnsi="URW DIN" w:cstheme="minorHAnsi"/>
              <w:color w:val="000000" w:themeColor="text1"/>
              <w:sz w:val="14"/>
              <w:szCs w:val="14"/>
            </w:rPr>
            <w:t>-  Reg.</w:t>
          </w:r>
          <w:proofErr w:type="gramEnd"/>
          <w:r w:rsidRPr="000B68EF">
            <w:rPr>
              <w:rFonts w:ascii="URW DIN" w:hAnsi="URW DIN" w:cstheme="minorHAnsi"/>
              <w:color w:val="000000" w:themeColor="text1"/>
              <w:sz w:val="14"/>
              <w:szCs w:val="14"/>
            </w:rPr>
            <w:t xml:space="preserve"> </w:t>
          </w:r>
          <w:proofErr w:type="spellStart"/>
          <w:r w:rsidRPr="000B68EF">
            <w:rPr>
              <w:rFonts w:ascii="URW DIN" w:hAnsi="URW DIN" w:cstheme="minorHAnsi"/>
              <w:color w:val="000000" w:themeColor="text1"/>
              <w:sz w:val="14"/>
              <w:szCs w:val="14"/>
            </w:rPr>
            <w:t>Imp</w:t>
          </w:r>
          <w:proofErr w:type="spellEnd"/>
          <w:r w:rsidRPr="000B68EF">
            <w:rPr>
              <w:rFonts w:ascii="URW DIN" w:hAnsi="URW DIN" w:cstheme="minorHAnsi"/>
              <w:color w:val="000000" w:themeColor="text1"/>
              <w:sz w:val="14"/>
              <w:szCs w:val="14"/>
            </w:rPr>
            <w:t xml:space="preserve">. Di MILANO MONZA BRIANZA LODI - </w:t>
          </w:r>
          <w:r w:rsidRPr="000B68EF">
            <w:rPr>
              <w:rFonts w:ascii="URW DIN" w:hAnsi="URW DIN"/>
              <w:sz w:val="14"/>
              <w:szCs w:val="14"/>
            </w:rPr>
            <w:t xml:space="preserve">R.E.A. 2539911 - C.F. e P.IVA 10543600968 - </w:t>
          </w:r>
        </w:p>
        <w:p w:rsidR="00890A72" w:rsidRPr="000B68EF" w:rsidRDefault="00890A72" w:rsidP="00890A72">
          <w:pPr>
            <w:pStyle w:val="Pidipagina"/>
            <w:jc w:val="center"/>
            <w:rPr>
              <w:rFonts w:ascii="URW DIN" w:hAnsi="URW DIN"/>
              <w:sz w:val="14"/>
              <w:szCs w:val="14"/>
            </w:rPr>
          </w:pPr>
          <w:r w:rsidRPr="000B68EF">
            <w:rPr>
              <w:rFonts w:ascii="URW DIN" w:hAnsi="URW DIN"/>
              <w:sz w:val="14"/>
              <w:szCs w:val="14"/>
            </w:rPr>
            <w:t xml:space="preserve">Capitale Sociale € 50.000 </w:t>
          </w:r>
          <w:proofErr w:type="spellStart"/>
          <w:r w:rsidRPr="000B68EF">
            <w:rPr>
              <w:rFonts w:ascii="URW DIN" w:hAnsi="URW DIN"/>
              <w:sz w:val="14"/>
              <w:szCs w:val="14"/>
            </w:rPr>
            <w:t>i.v</w:t>
          </w:r>
          <w:proofErr w:type="spellEnd"/>
          <w:r w:rsidRPr="000B68EF">
            <w:rPr>
              <w:rFonts w:ascii="URW DIN" w:hAnsi="URW DIN"/>
              <w:sz w:val="14"/>
              <w:szCs w:val="14"/>
            </w:rPr>
            <w:t>. - Fax: 0374.341838</w:t>
          </w:r>
        </w:p>
      </w:tc>
    </w:tr>
  </w:tbl>
  <w:p w:rsidR="00117508" w:rsidRDefault="0011750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11D" w:rsidRDefault="0033711D" w:rsidP="00874712">
      <w:pPr>
        <w:spacing w:after="0" w:line="240" w:lineRule="auto"/>
      </w:pPr>
      <w:r>
        <w:separator/>
      </w:r>
    </w:p>
  </w:footnote>
  <w:footnote w:type="continuationSeparator" w:id="0">
    <w:p w:rsidR="0033711D" w:rsidRDefault="0033711D" w:rsidP="00874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712" w:rsidRDefault="00167613">
    <w:pPr>
      <w:pStyle w:val="Intestazione"/>
    </w:pPr>
    <w:r>
      <w:rPr>
        <w:noProof/>
      </w:rPr>
      <w:drawing>
        <wp:anchor distT="0" distB="0" distL="114300" distR="114300" simplePos="0" relativeHeight="251658240" behindDoc="1" locked="0" layoutInCell="1" allowOverlap="1">
          <wp:simplePos x="0" y="0"/>
          <wp:positionH relativeFrom="column">
            <wp:posOffset>-952</wp:posOffset>
          </wp:positionH>
          <wp:positionV relativeFrom="paragraph">
            <wp:posOffset>-1905</wp:posOffset>
          </wp:positionV>
          <wp:extent cx="1843087" cy="950695"/>
          <wp:effectExtent l="0" t="0" r="5080" b="1905"/>
          <wp:wrapNone/>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rica logo.jpg"/>
                  <pic:cNvPicPr/>
                </pic:nvPicPr>
                <pic:blipFill>
                  <a:blip r:embed="rId1">
                    <a:extLst>
                      <a:ext uri="{28A0092B-C50C-407E-A947-70E740481C1C}">
                        <a14:useLocalDpi xmlns:a14="http://schemas.microsoft.com/office/drawing/2010/main" val="0"/>
                      </a:ext>
                    </a:extLst>
                  </a:blip>
                  <a:stretch>
                    <a:fillRect/>
                  </a:stretch>
                </pic:blipFill>
                <pic:spPr>
                  <a:xfrm>
                    <a:off x="0" y="0"/>
                    <a:ext cx="1886352" cy="973012"/>
                  </a:xfrm>
                  <a:prstGeom prst="rect">
                    <a:avLst/>
                  </a:prstGeom>
                </pic:spPr>
              </pic:pic>
            </a:graphicData>
          </a:graphic>
          <wp14:sizeRelH relativeFrom="margin">
            <wp14:pctWidth>0</wp14:pctWidth>
          </wp14:sizeRelH>
          <wp14:sizeRelV relativeFrom="margin">
            <wp14:pctHeight>0</wp14:pctHeight>
          </wp14:sizeRelV>
        </wp:anchor>
      </w:drawing>
    </w:r>
    <w:r w:rsidR="00874712">
      <w:t xml:space="preserve">    </w:t>
    </w:r>
  </w:p>
  <w:tbl>
    <w:tblPr>
      <w:tblStyle w:val="Grigliatabella"/>
      <w:tblW w:w="0" w:type="auto"/>
      <w:tblInd w:w="5524" w:type="dxa"/>
      <w:tblLook w:val="04A0" w:firstRow="1" w:lastRow="0" w:firstColumn="1" w:lastColumn="0" w:noHBand="0" w:noVBand="1"/>
    </w:tblPr>
    <w:tblGrid>
      <w:gridCol w:w="1825"/>
      <w:gridCol w:w="2279"/>
    </w:tblGrid>
    <w:tr w:rsidR="00874712" w:rsidTr="00E52ECF">
      <w:trPr>
        <w:trHeight w:val="269"/>
      </w:trPr>
      <w:tc>
        <w:tcPr>
          <w:tcW w:w="1825" w:type="dxa"/>
          <w:tcBorders>
            <w:top w:val="nil"/>
            <w:left w:val="nil"/>
            <w:bottom w:val="single" w:sz="8" w:space="0" w:color="FFC000" w:themeColor="accent4"/>
            <w:right w:val="nil"/>
          </w:tcBorders>
          <w:shd w:val="clear" w:color="auto" w:fill="auto"/>
          <w:vAlign w:val="center"/>
        </w:tcPr>
        <w:p w:rsidR="00874712" w:rsidRPr="00874712" w:rsidRDefault="00874712" w:rsidP="00874712">
          <w:pPr>
            <w:spacing w:line="232" w:lineRule="auto"/>
            <w:ind w:left="20" w:right="-1"/>
            <w:rPr>
              <w:rFonts w:ascii="URW DIN" w:hAnsi="URW DIN" w:cstheme="minorHAnsi"/>
              <w:b/>
              <w:color w:val="70AD47" w:themeColor="accent6"/>
              <w:sz w:val="16"/>
              <w:szCs w:val="16"/>
            </w:rPr>
          </w:pPr>
          <w:r w:rsidRPr="00874712">
            <w:rPr>
              <w:rFonts w:ascii="URW DIN" w:hAnsi="URW DIN" w:cstheme="minorHAnsi"/>
              <w:b/>
              <w:color w:val="FFC000"/>
              <w:sz w:val="16"/>
              <w:szCs w:val="16"/>
            </w:rPr>
            <w:t>AURICA S.R.L</w:t>
          </w:r>
          <w:r>
            <w:rPr>
              <w:rFonts w:ascii="URW DIN" w:hAnsi="URW DIN" w:cstheme="minorHAnsi"/>
              <w:b/>
              <w:color w:val="FFC000"/>
              <w:sz w:val="16"/>
              <w:szCs w:val="16"/>
            </w:rPr>
            <w:t>.</w:t>
          </w:r>
        </w:p>
      </w:tc>
      <w:tc>
        <w:tcPr>
          <w:tcW w:w="2279" w:type="dxa"/>
          <w:tcBorders>
            <w:top w:val="nil"/>
            <w:left w:val="nil"/>
            <w:bottom w:val="single" w:sz="8" w:space="0" w:color="FFC000" w:themeColor="accent4"/>
            <w:right w:val="nil"/>
          </w:tcBorders>
          <w:shd w:val="clear" w:color="auto" w:fill="auto"/>
          <w:vAlign w:val="center"/>
        </w:tcPr>
        <w:p w:rsidR="00874712" w:rsidRPr="00874712" w:rsidRDefault="00874712" w:rsidP="00874712">
          <w:pPr>
            <w:pStyle w:val="Intestazione"/>
            <w:rPr>
              <w:rFonts w:ascii="URW DIN" w:hAnsi="URW DIN"/>
              <w:bCs/>
              <w:sz w:val="16"/>
              <w:szCs w:val="16"/>
            </w:rPr>
          </w:pPr>
        </w:p>
      </w:tc>
    </w:tr>
    <w:tr w:rsidR="00874712" w:rsidTr="00E52ECF">
      <w:trPr>
        <w:trHeight w:val="269"/>
      </w:trPr>
      <w:tc>
        <w:tcPr>
          <w:tcW w:w="1825" w:type="dxa"/>
          <w:tcBorders>
            <w:top w:val="single" w:sz="8" w:space="0" w:color="FFC000" w:themeColor="accent4"/>
            <w:left w:val="nil"/>
            <w:bottom w:val="nil"/>
            <w:right w:val="nil"/>
          </w:tcBorders>
          <w:vAlign w:val="center"/>
        </w:tcPr>
        <w:p w:rsidR="00874712" w:rsidRPr="00874712" w:rsidRDefault="00874712" w:rsidP="00874712">
          <w:pPr>
            <w:spacing w:line="232" w:lineRule="auto"/>
            <w:ind w:left="20" w:right="-1"/>
            <w:rPr>
              <w:rFonts w:ascii="URW DIN" w:hAnsi="URW DIN" w:cstheme="minorHAnsi"/>
              <w:bCs/>
              <w:color w:val="000000" w:themeColor="text1"/>
              <w:sz w:val="16"/>
              <w:szCs w:val="16"/>
            </w:rPr>
          </w:pPr>
          <w:r w:rsidRPr="00874712">
            <w:rPr>
              <w:rFonts w:ascii="URW DIN" w:hAnsi="URW DIN" w:cstheme="minorHAnsi"/>
              <w:bCs/>
              <w:color w:val="000000" w:themeColor="text1"/>
              <w:sz w:val="16"/>
              <w:szCs w:val="16"/>
            </w:rPr>
            <w:t>Via Marco D’aviano 2</w:t>
          </w:r>
        </w:p>
      </w:tc>
      <w:tc>
        <w:tcPr>
          <w:tcW w:w="2279" w:type="dxa"/>
          <w:tcBorders>
            <w:top w:val="single" w:sz="8" w:space="0" w:color="FFC000" w:themeColor="accent4"/>
            <w:left w:val="nil"/>
            <w:bottom w:val="nil"/>
            <w:right w:val="nil"/>
          </w:tcBorders>
          <w:vAlign w:val="center"/>
        </w:tcPr>
        <w:p w:rsidR="00874712" w:rsidRPr="00874712" w:rsidRDefault="00874712" w:rsidP="00874712">
          <w:pPr>
            <w:pStyle w:val="Intestazione"/>
            <w:rPr>
              <w:rFonts w:ascii="URW DIN" w:hAnsi="URW DIN"/>
              <w:bCs/>
              <w:sz w:val="16"/>
              <w:szCs w:val="16"/>
            </w:rPr>
          </w:pPr>
          <w:r w:rsidRPr="00874712">
            <w:rPr>
              <w:rFonts w:ascii="URW DIN" w:hAnsi="URW DIN"/>
              <w:bCs/>
              <w:sz w:val="16"/>
              <w:szCs w:val="16"/>
            </w:rPr>
            <w:t>contratti@auricaenergia.com</w:t>
          </w:r>
        </w:p>
      </w:tc>
    </w:tr>
    <w:tr w:rsidR="00874712" w:rsidTr="00610ED1">
      <w:trPr>
        <w:trHeight w:val="269"/>
      </w:trPr>
      <w:tc>
        <w:tcPr>
          <w:tcW w:w="1825" w:type="dxa"/>
          <w:tcBorders>
            <w:top w:val="nil"/>
            <w:left w:val="nil"/>
            <w:bottom w:val="nil"/>
            <w:right w:val="nil"/>
          </w:tcBorders>
          <w:vAlign w:val="center"/>
        </w:tcPr>
        <w:p w:rsidR="00874712" w:rsidRPr="00874712" w:rsidRDefault="00874712" w:rsidP="00874712">
          <w:pPr>
            <w:spacing w:line="232" w:lineRule="auto"/>
            <w:ind w:left="20" w:right="-1"/>
            <w:rPr>
              <w:rFonts w:ascii="URW DIN" w:hAnsi="URW DIN" w:cstheme="minorHAnsi"/>
              <w:bCs/>
              <w:color w:val="000000" w:themeColor="text1"/>
              <w:sz w:val="16"/>
              <w:szCs w:val="16"/>
            </w:rPr>
          </w:pPr>
          <w:r w:rsidRPr="00874712">
            <w:rPr>
              <w:rFonts w:ascii="URW DIN" w:hAnsi="URW DIN" w:cstheme="minorHAnsi"/>
              <w:bCs/>
              <w:color w:val="000000" w:themeColor="text1"/>
              <w:sz w:val="16"/>
              <w:szCs w:val="16"/>
            </w:rPr>
            <w:t>Milano (MI) 20131</w:t>
          </w:r>
        </w:p>
      </w:tc>
      <w:tc>
        <w:tcPr>
          <w:tcW w:w="2279" w:type="dxa"/>
          <w:tcBorders>
            <w:top w:val="nil"/>
            <w:left w:val="nil"/>
            <w:bottom w:val="nil"/>
            <w:right w:val="nil"/>
          </w:tcBorders>
          <w:vAlign w:val="center"/>
        </w:tcPr>
        <w:p w:rsidR="00874712" w:rsidRPr="00874712" w:rsidRDefault="0033711D" w:rsidP="00874712">
          <w:pPr>
            <w:spacing w:before="24"/>
            <w:ind w:left="20"/>
            <w:rPr>
              <w:rFonts w:ascii="URW DIN" w:hAnsi="URW DIN" w:cstheme="minorHAnsi"/>
              <w:bCs/>
              <w:color w:val="000000" w:themeColor="text1"/>
              <w:sz w:val="16"/>
              <w:szCs w:val="16"/>
            </w:rPr>
          </w:pPr>
          <w:hyperlink r:id="rId2" w:history="1">
            <w:r w:rsidR="00874712" w:rsidRPr="00874712">
              <w:rPr>
                <w:rStyle w:val="Collegamentoipertestuale"/>
                <w:rFonts w:ascii="URW DIN" w:hAnsi="URW DIN" w:cstheme="minorHAnsi"/>
                <w:bCs/>
                <w:color w:val="000000" w:themeColor="text1"/>
                <w:sz w:val="16"/>
                <w:szCs w:val="16"/>
              </w:rPr>
              <w:t>www.auricaenergia.com</w:t>
            </w:r>
          </w:hyperlink>
        </w:p>
      </w:tc>
    </w:tr>
    <w:tr w:rsidR="00874712" w:rsidTr="00610ED1">
      <w:trPr>
        <w:trHeight w:val="269"/>
      </w:trPr>
      <w:tc>
        <w:tcPr>
          <w:tcW w:w="1825" w:type="dxa"/>
          <w:tcBorders>
            <w:top w:val="nil"/>
            <w:left w:val="nil"/>
            <w:bottom w:val="nil"/>
            <w:right w:val="nil"/>
          </w:tcBorders>
          <w:vAlign w:val="center"/>
        </w:tcPr>
        <w:p w:rsidR="00874712" w:rsidRPr="00874712" w:rsidRDefault="00874712" w:rsidP="00874712">
          <w:pPr>
            <w:spacing w:line="232" w:lineRule="auto"/>
            <w:ind w:left="20" w:right="-1"/>
            <w:rPr>
              <w:rFonts w:ascii="URW DIN" w:hAnsi="URW DIN" w:cstheme="minorHAnsi"/>
              <w:bCs/>
              <w:color w:val="000000" w:themeColor="text1"/>
              <w:sz w:val="16"/>
              <w:szCs w:val="16"/>
            </w:rPr>
          </w:pPr>
          <w:r w:rsidRPr="00874712">
            <w:rPr>
              <w:rFonts w:ascii="URW DIN" w:hAnsi="URW DIN" w:cstheme="minorHAnsi"/>
              <w:bCs/>
              <w:color w:val="000000" w:themeColor="text1"/>
              <w:sz w:val="16"/>
              <w:szCs w:val="16"/>
            </w:rPr>
            <w:t>Tel 02.36512030</w:t>
          </w:r>
        </w:p>
      </w:tc>
      <w:tc>
        <w:tcPr>
          <w:tcW w:w="2279" w:type="dxa"/>
          <w:tcBorders>
            <w:top w:val="nil"/>
            <w:left w:val="nil"/>
            <w:bottom w:val="nil"/>
            <w:right w:val="nil"/>
          </w:tcBorders>
          <w:vAlign w:val="center"/>
        </w:tcPr>
        <w:p w:rsidR="00874712" w:rsidRPr="00874712" w:rsidRDefault="00874712" w:rsidP="00874712">
          <w:pPr>
            <w:pStyle w:val="Intestazione"/>
            <w:rPr>
              <w:rFonts w:ascii="URW DIN" w:hAnsi="URW DIN"/>
              <w:bCs/>
              <w:sz w:val="16"/>
              <w:szCs w:val="16"/>
            </w:rPr>
          </w:pPr>
          <w:r w:rsidRPr="00874712">
            <w:rPr>
              <w:rFonts w:ascii="URW DIN" w:hAnsi="URW DIN"/>
              <w:bCs/>
              <w:sz w:val="16"/>
              <w:szCs w:val="16"/>
            </w:rPr>
            <w:t>fax 02.36522870</w:t>
          </w:r>
        </w:p>
      </w:tc>
    </w:tr>
  </w:tbl>
  <w:p w:rsidR="00874712" w:rsidRDefault="0087471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77AF"/>
    <w:multiLevelType w:val="multilevel"/>
    <w:tmpl w:val="23222354"/>
    <w:lvl w:ilvl="0">
      <w:start w:val="4"/>
      <w:numFmt w:val="decimal"/>
      <w:lvlText w:val="%1"/>
      <w:lvlJc w:val="left"/>
      <w:pPr>
        <w:ind w:left="106" w:hanging="261"/>
      </w:pPr>
      <w:rPr>
        <w:rFonts w:hint="default"/>
        <w:lang w:val="it-IT" w:eastAsia="it-IT" w:bidi="it-IT"/>
      </w:rPr>
    </w:lvl>
    <w:lvl w:ilvl="1">
      <w:start w:val="1"/>
      <w:numFmt w:val="decimal"/>
      <w:lvlText w:val="%1.%2"/>
      <w:lvlJc w:val="left"/>
      <w:pPr>
        <w:ind w:left="106" w:hanging="261"/>
      </w:pPr>
      <w:rPr>
        <w:rFonts w:ascii="Calibri Light" w:eastAsia="Calibri Light" w:hAnsi="Calibri Light" w:cs="Calibri Light" w:hint="default"/>
        <w:color w:val="231F20"/>
        <w:w w:val="100"/>
        <w:sz w:val="18"/>
        <w:szCs w:val="18"/>
        <w:lang w:val="it-IT" w:eastAsia="it-IT" w:bidi="it-IT"/>
      </w:rPr>
    </w:lvl>
    <w:lvl w:ilvl="2">
      <w:numFmt w:val="bullet"/>
      <w:lvlText w:val="•"/>
      <w:lvlJc w:val="left"/>
      <w:pPr>
        <w:ind w:left="1163" w:hanging="261"/>
      </w:pPr>
      <w:rPr>
        <w:rFonts w:hint="default"/>
        <w:lang w:val="it-IT" w:eastAsia="it-IT" w:bidi="it-IT"/>
      </w:rPr>
    </w:lvl>
    <w:lvl w:ilvl="3">
      <w:numFmt w:val="bullet"/>
      <w:lvlText w:val="•"/>
      <w:lvlJc w:val="left"/>
      <w:pPr>
        <w:ind w:left="1694" w:hanging="261"/>
      </w:pPr>
      <w:rPr>
        <w:rFonts w:hint="default"/>
        <w:lang w:val="it-IT" w:eastAsia="it-IT" w:bidi="it-IT"/>
      </w:rPr>
    </w:lvl>
    <w:lvl w:ilvl="4">
      <w:numFmt w:val="bullet"/>
      <w:lvlText w:val="•"/>
      <w:lvlJc w:val="left"/>
      <w:pPr>
        <w:ind w:left="2226" w:hanging="261"/>
      </w:pPr>
      <w:rPr>
        <w:rFonts w:hint="default"/>
        <w:lang w:val="it-IT" w:eastAsia="it-IT" w:bidi="it-IT"/>
      </w:rPr>
    </w:lvl>
    <w:lvl w:ilvl="5">
      <w:numFmt w:val="bullet"/>
      <w:lvlText w:val="•"/>
      <w:lvlJc w:val="left"/>
      <w:pPr>
        <w:ind w:left="2758" w:hanging="261"/>
      </w:pPr>
      <w:rPr>
        <w:rFonts w:hint="default"/>
        <w:lang w:val="it-IT" w:eastAsia="it-IT" w:bidi="it-IT"/>
      </w:rPr>
    </w:lvl>
    <w:lvl w:ilvl="6">
      <w:numFmt w:val="bullet"/>
      <w:lvlText w:val="•"/>
      <w:lvlJc w:val="left"/>
      <w:pPr>
        <w:ind w:left="3289" w:hanging="261"/>
      </w:pPr>
      <w:rPr>
        <w:rFonts w:hint="default"/>
        <w:lang w:val="it-IT" w:eastAsia="it-IT" w:bidi="it-IT"/>
      </w:rPr>
    </w:lvl>
    <w:lvl w:ilvl="7">
      <w:numFmt w:val="bullet"/>
      <w:lvlText w:val="•"/>
      <w:lvlJc w:val="left"/>
      <w:pPr>
        <w:ind w:left="3821" w:hanging="261"/>
      </w:pPr>
      <w:rPr>
        <w:rFonts w:hint="default"/>
        <w:lang w:val="it-IT" w:eastAsia="it-IT" w:bidi="it-IT"/>
      </w:rPr>
    </w:lvl>
    <w:lvl w:ilvl="8">
      <w:numFmt w:val="bullet"/>
      <w:lvlText w:val="•"/>
      <w:lvlJc w:val="left"/>
      <w:pPr>
        <w:ind w:left="4353" w:hanging="261"/>
      </w:pPr>
      <w:rPr>
        <w:rFonts w:hint="default"/>
        <w:lang w:val="it-IT" w:eastAsia="it-IT" w:bidi="it-IT"/>
      </w:rPr>
    </w:lvl>
  </w:abstractNum>
  <w:abstractNum w:abstractNumId="1" w15:restartNumberingAfterBreak="0">
    <w:nsid w:val="28447BE2"/>
    <w:multiLevelType w:val="multilevel"/>
    <w:tmpl w:val="2B0A9202"/>
    <w:lvl w:ilvl="0">
      <w:start w:val="6"/>
      <w:numFmt w:val="decimal"/>
      <w:lvlText w:val="%1"/>
      <w:lvlJc w:val="left"/>
      <w:pPr>
        <w:ind w:left="106" w:hanging="261"/>
      </w:pPr>
      <w:rPr>
        <w:rFonts w:hint="default"/>
        <w:lang w:val="it-IT" w:eastAsia="it-IT" w:bidi="it-IT"/>
      </w:rPr>
    </w:lvl>
    <w:lvl w:ilvl="1">
      <w:start w:val="1"/>
      <w:numFmt w:val="decimal"/>
      <w:lvlText w:val="%1.%2"/>
      <w:lvlJc w:val="left"/>
      <w:pPr>
        <w:ind w:left="106" w:hanging="261"/>
      </w:pPr>
      <w:rPr>
        <w:rFonts w:ascii="Calibri Light" w:eastAsia="Calibri Light" w:hAnsi="Calibri Light" w:cs="Calibri Light" w:hint="default"/>
        <w:color w:val="231F20"/>
        <w:w w:val="100"/>
        <w:sz w:val="18"/>
        <w:szCs w:val="18"/>
        <w:lang w:val="it-IT" w:eastAsia="it-IT" w:bidi="it-IT"/>
      </w:rPr>
    </w:lvl>
    <w:lvl w:ilvl="2">
      <w:numFmt w:val="bullet"/>
      <w:lvlText w:val="•"/>
      <w:lvlJc w:val="left"/>
      <w:pPr>
        <w:ind w:left="1183" w:hanging="261"/>
      </w:pPr>
      <w:rPr>
        <w:rFonts w:hint="default"/>
        <w:lang w:val="it-IT" w:eastAsia="it-IT" w:bidi="it-IT"/>
      </w:rPr>
    </w:lvl>
    <w:lvl w:ilvl="3">
      <w:numFmt w:val="bullet"/>
      <w:lvlText w:val="•"/>
      <w:lvlJc w:val="left"/>
      <w:pPr>
        <w:ind w:left="1725" w:hanging="261"/>
      </w:pPr>
      <w:rPr>
        <w:rFonts w:hint="default"/>
        <w:lang w:val="it-IT" w:eastAsia="it-IT" w:bidi="it-IT"/>
      </w:rPr>
    </w:lvl>
    <w:lvl w:ilvl="4">
      <w:numFmt w:val="bullet"/>
      <w:lvlText w:val="•"/>
      <w:lvlJc w:val="left"/>
      <w:pPr>
        <w:ind w:left="2267" w:hanging="261"/>
      </w:pPr>
      <w:rPr>
        <w:rFonts w:hint="default"/>
        <w:lang w:val="it-IT" w:eastAsia="it-IT" w:bidi="it-IT"/>
      </w:rPr>
    </w:lvl>
    <w:lvl w:ilvl="5">
      <w:numFmt w:val="bullet"/>
      <w:lvlText w:val="•"/>
      <w:lvlJc w:val="left"/>
      <w:pPr>
        <w:ind w:left="2809" w:hanging="261"/>
      </w:pPr>
      <w:rPr>
        <w:rFonts w:hint="default"/>
        <w:lang w:val="it-IT" w:eastAsia="it-IT" w:bidi="it-IT"/>
      </w:rPr>
    </w:lvl>
    <w:lvl w:ilvl="6">
      <w:numFmt w:val="bullet"/>
      <w:lvlText w:val="•"/>
      <w:lvlJc w:val="left"/>
      <w:pPr>
        <w:ind w:left="3351" w:hanging="261"/>
      </w:pPr>
      <w:rPr>
        <w:rFonts w:hint="default"/>
        <w:lang w:val="it-IT" w:eastAsia="it-IT" w:bidi="it-IT"/>
      </w:rPr>
    </w:lvl>
    <w:lvl w:ilvl="7">
      <w:numFmt w:val="bullet"/>
      <w:lvlText w:val="•"/>
      <w:lvlJc w:val="left"/>
      <w:pPr>
        <w:ind w:left="3893" w:hanging="261"/>
      </w:pPr>
      <w:rPr>
        <w:rFonts w:hint="default"/>
        <w:lang w:val="it-IT" w:eastAsia="it-IT" w:bidi="it-IT"/>
      </w:rPr>
    </w:lvl>
    <w:lvl w:ilvl="8">
      <w:numFmt w:val="bullet"/>
      <w:lvlText w:val="•"/>
      <w:lvlJc w:val="left"/>
      <w:pPr>
        <w:ind w:left="4435" w:hanging="261"/>
      </w:pPr>
      <w:rPr>
        <w:rFonts w:hint="default"/>
        <w:lang w:val="it-IT" w:eastAsia="it-IT" w:bidi="it-IT"/>
      </w:rPr>
    </w:lvl>
  </w:abstractNum>
  <w:abstractNum w:abstractNumId="2" w15:restartNumberingAfterBreak="0">
    <w:nsid w:val="3DC741A4"/>
    <w:multiLevelType w:val="hybridMultilevel"/>
    <w:tmpl w:val="CE460B6C"/>
    <w:lvl w:ilvl="0" w:tplc="6C88228C">
      <w:start w:val="1"/>
      <w:numFmt w:val="lowerLetter"/>
      <w:lvlText w:val="%1)"/>
      <w:lvlJc w:val="left"/>
      <w:pPr>
        <w:ind w:left="106" w:hanging="180"/>
      </w:pPr>
      <w:rPr>
        <w:rFonts w:ascii="Calibri Light" w:eastAsia="Calibri Light" w:hAnsi="Calibri Light" w:cs="Calibri Light" w:hint="default"/>
        <w:color w:val="231F20"/>
        <w:spacing w:val="-12"/>
        <w:w w:val="94"/>
        <w:sz w:val="18"/>
        <w:szCs w:val="18"/>
        <w:lang w:val="it-IT" w:eastAsia="it-IT" w:bidi="it-IT"/>
      </w:rPr>
    </w:lvl>
    <w:lvl w:ilvl="1" w:tplc="CF4AC76A">
      <w:numFmt w:val="bullet"/>
      <w:lvlText w:val="•"/>
      <w:lvlJc w:val="left"/>
      <w:pPr>
        <w:ind w:left="641" w:hanging="180"/>
      </w:pPr>
      <w:rPr>
        <w:rFonts w:hint="default"/>
        <w:lang w:val="it-IT" w:eastAsia="it-IT" w:bidi="it-IT"/>
      </w:rPr>
    </w:lvl>
    <w:lvl w:ilvl="2" w:tplc="A2F8802E">
      <w:numFmt w:val="bullet"/>
      <w:lvlText w:val="•"/>
      <w:lvlJc w:val="left"/>
      <w:pPr>
        <w:ind w:left="1183" w:hanging="180"/>
      </w:pPr>
      <w:rPr>
        <w:rFonts w:hint="default"/>
        <w:lang w:val="it-IT" w:eastAsia="it-IT" w:bidi="it-IT"/>
      </w:rPr>
    </w:lvl>
    <w:lvl w:ilvl="3" w:tplc="01BA78F0">
      <w:numFmt w:val="bullet"/>
      <w:lvlText w:val="•"/>
      <w:lvlJc w:val="left"/>
      <w:pPr>
        <w:ind w:left="1725" w:hanging="180"/>
      </w:pPr>
      <w:rPr>
        <w:rFonts w:hint="default"/>
        <w:lang w:val="it-IT" w:eastAsia="it-IT" w:bidi="it-IT"/>
      </w:rPr>
    </w:lvl>
    <w:lvl w:ilvl="4" w:tplc="037892C8">
      <w:numFmt w:val="bullet"/>
      <w:lvlText w:val="•"/>
      <w:lvlJc w:val="left"/>
      <w:pPr>
        <w:ind w:left="2267" w:hanging="180"/>
      </w:pPr>
      <w:rPr>
        <w:rFonts w:hint="default"/>
        <w:lang w:val="it-IT" w:eastAsia="it-IT" w:bidi="it-IT"/>
      </w:rPr>
    </w:lvl>
    <w:lvl w:ilvl="5" w:tplc="A5A2C818">
      <w:numFmt w:val="bullet"/>
      <w:lvlText w:val="•"/>
      <w:lvlJc w:val="left"/>
      <w:pPr>
        <w:ind w:left="2809" w:hanging="180"/>
      </w:pPr>
      <w:rPr>
        <w:rFonts w:hint="default"/>
        <w:lang w:val="it-IT" w:eastAsia="it-IT" w:bidi="it-IT"/>
      </w:rPr>
    </w:lvl>
    <w:lvl w:ilvl="6" w:tplc="C004FD6C">
      <w:numFmt w:val="bullet"/>
      <w:lvlText w:val="•"/>
      <w:lvlJc w:val="left"/>
      <w:pPr>
        <w:ind w:left="3351" w:hanging="180"/>
      </w:pPr>
      <w:rPr>
        <w:rFonts w:hint="default"/>
        <w:lang w:val="it-IT" w:eastAsia="it-IT" w:bidi="it-IT"/>
      </w:rPr>
    </w:lvl>
    <w:lvl w:ilvl="7" w:tplc="E154F3CA">
      <w:numFmt w:val="bullet"/>
      <w:lvlText w:val="•"/>
      <w:lvlJc w:val="left"/>
      <w:pPr>
        <w:ind w:left="3893" w:hanging="180"/>
      </w:pPr>
      <w:rPr>
        <w:rFonts w:hint="default"/>
        <w:lang w:val="it-IT" w:eastAsia="it-IT" w:bidi="it-IT"/>
      </w:rPr>
    </w:lvl>
    <w:lvl w:ilvl="8" w:tplc="0F044B64">
      <w:numFmt w:val="bullet"/>
      <w:lvlText w:val="•"/>
      <w:lvlJc w:val="left"/>
      <w:pPr>
        <w:ind w:left="4435" w:hanging="180"/>
      </w:pPr>
      <w:rPr>
        <w:rFonts w:hint="default"/>
        <w:lang w:val="it-IT" w:eastAsia="it-IT" w:bidi="it-IT"/>
      </w:rPr>
    </w:lvl>
  </w:abstractNum>
  <w:abstractNum w:abstractNumId="3" w15:restartNumberingAfterBreak="0">
    <w:nsid w:val="4AED3587"/>
    <w:multiLevelType w:val="multilevel"/>
    <w:tmpl w:val="D3A84A54"/>
    <w:lvl w:ilvl="0">
      <w:start w:val="2"/>
      <w:numFmt w:val="decimal"/>
      <w:lvlText w:val="%1"/>
      <w:lvlJc w:val="left"/>
      <w:pPr>
        <w:ind w:left="420" w:hanging="314"/>
      </w:pPr>
      <w:rPr>
        <w:rFonts w:hint="default"/>
        <w:lang w:val="it-IT" w:eastAsia="it-IT" w:bidi="it-IT"/>
      </w:rPr>
    </w:lvl>
    <w:lvl w:ilvl="1">
      <w:start w:val="1"/>
      <w:numFmt w:val="decimal"/>
      <w:lvlText w:val="%1.%2"/>
      <w:lvlJc w:val="left"/>
      <w:pPr>
        <w:ind w:left="420" w:hanging="314"/>
      </w:pPr>
      <w:rPr>
        <w:rFonts w:ascii="Calibri Light" w:eastAsia="Calibri Light" w:hAnsi="Calibri Light" w:cs="Calibri Light" w:hint="default"/>
        <w:color w:val="231F20"/>
        <w:spacing w:val="-4"/>
        <w:w w:val="94"/>
        <w:sz w:val="18"/>
        <w:szCs w:val="18"/>
        <w:lang w:val="it-IT" w:eastAsia="it-IT" w:bidi="it-IT"/>
      </w:rPr>
    </w:lvl>
    <w:lvl w:ilvl="2">
      <w:numFmt w:val="bullet"/>
      <w:lvlText w:val="•"/>
      <w:lvlJc w:val="left"/>
      <w:pPr>
        <w:ind w:left="1439" w:hanging="314"/>
      </w:pPr>
      <w:rPr>
        <w:rFonts w:hint="default"/>
        <w:lang w:val="it-IT" w:eastAsia="it-IT" w:bidi="it-IT"/>
      </w:rPr>
    </w:lvl>
    <w:lvl w:ilvl="3">
      <w:numFmt w:val="bullet"/>
      <w:lvlText w:val="•"/>
      <w:lvlJc w:val="left"/>
      <w:pPr>
        <w:ind w:left="1949" w:hanging="314"/>
      </w:pPr>
      <w:rPr>
        <w:rFonts w:hint="default"/>
        <w:lang w:val="it-IT" w:eastAsia="it-IT" w:bidi="it-IT"/>
      </w:rPr>
    </w:lvl>
    <w:lvl w:ilvl="4">
      <w:numFmt w:val="bullet"/>
      <w:lvlText w:val="•"/>
      <w:lvlJc w:val="left"/>
      <w:pPr>
        <w:ind w:left="2459" w:hanging="314"/>
      </w:pPr>
      <w:rPr>
        <w:rFonts w:hint="default"/>
        <w:lang w:val="it-IT" w:eastAsia="it-IT" w:bidi="it-IT"/>
      </w:rPr>
    </w:lvl>
    <w:lvl w:ilvl="5">
      <w:numFmt w:val="bullet"/>
      <w:lvlText w:val="•"/>
      <w:lvlJc w:val="left"/>
      <w:pPr>
        <w:ind w:left="2969" w:hanging="314"/>
      </w:pPr>
      <w:rPr>
        <w:rFonts w:hint="default"/>
        <w:lang w:val="it-IT" w:eastAsia="it-IT" w:bidi="it-IT"/>
      </w:rPr>
    </w:lvl>
    <w:lvl w:ilvl="6">
      <w:numFmt w:val="bullet"/>
      <w:lvlText w:val="•"/>
      <w:lvlJc w:val="left"/>
      <w:pPr>
        <w:ind w:left="3479" w:hanging="314"/>
      </w:pPr>
      <w:rPr>
        <w:rFonts w:hint="default"/>
        <w:lang w:val="it-IT" w:eastAsia="it-IT" w:bidi="it-IT"/>
      </w:rPr>
    </w:lvl>
    <w:lvl w:ilvl="7">
      <w:numFmt w:val="bullet"/>
      <w:lvlText w:val="•"/>
      <w:lvlJc w:val="left"/>
      <w:pPr>
        <w:ind w:left="3989" w:hanging="314"/>
      </w:pPr>
      <w:rPr>
        <w:rFonts w:hint="default"/>
        <w:lang w:val="it-IT" w:eastAsia="it-IT" w:bidi="it-IT"/>
      </w:rPr>
    </w:lvl>
    <w:lvl w:ilvl="8">
      <w:numFmt w:val="bullet"/>
      <w:lvlText w:val="•"/>
      <w:lvlJc w:val="left"/>
      <w:pPr>
        <w:ind w:left="4499" w:hanging="314"/>
      </w:pPr>
      <w:rPr>
        <w:rFonts w:hint="default"/>
        <w:lang w:val="it-IT" w:eastAsia="it-IT" w:bidi="it-IT"/>
      </w:rPr>
    </w:lvl>
  </w:abstractNum>
  <w:abstractNum w:abstractNumId="4" w15:restartNumberingAfterBreak="0">
    <w:nsid w:val="4E5B3BF1"/>
    <w:multiLevelType w:val="multilevel"/>
    <w:tmpl w:val="F03244DA"/>
    <w:lvl w:ilvl="0">
      <w:start w:val="5"/>
      <w:numFmt w:val="decimal"/>
      <w:lvlText w:val="%1"/>
      <w:lvlJc w:val="left"/>
      <w:pPr>
        <w:ind w:left="106" w:hanging="302"/>
      </w:pPr>
      <w:rPr>
        <w:rFonts w:hint="default"/>
        <w:lang w:val="it-IT" w:eastAsia="it-IT" w:bidi="it-IT"/>
      </w:rPr>
    </w:lvl>
    <w:lvl w:ilvl="1">
      <w:start w:val="1"/>
      <w:numFmt w:val="decimal"/>
      <w:lvlText w:val="%1.%2"/>
      <w:lvlJc w:val="left"/>
      <w:pPr>
        <w:ind w:left="106" w:hanging="302"/>
      </w:pPr>
      <w:rPr>
        <w:rFonts w:ascii="Calibri Light" w:eastAsia="Calibri Light" w:hAnsi="Calibri Light" w:cs="Calibri Light" w:hint="default"/>
        <w:color w:val="231F20"/>
        <w:spacing w:val="-19"/>
        <w:w w:val="94"/>
        <w:sz w:val="18"/>
        <w:szCs w:val="18"/>
        <w:lang w:val="it-IT" w:eastAsia="it-IT" w:bidi="it-IT"/>
      </w:rPr>
    </w:lvl>
    <w:lvl w:ilvl="2">
      <w:numFmt w:val="bullet"/>
      <w:lvlText w:val="•"/>
      <w:lvlJc w:val="left"/>
      <w:pPr>
        <w:ind w:left="1183" w:hanging="302"/>
      </w:pPr>
      <w:rPr>
        <w:rFonts w:hint="default"/>
        <w:lang w:val="it-IT" w:eastAsia="it-IT" w:bidi="it-IT"/>
      </w:rPr>
    </w:lvl>
    <w:lvl w:ilvl="3">
      <w:numFmt w:val="bullet"/>
      <w:lvlText w:val="•"/>
      <w:lvlJc w:val="left"/>
      <w:pPr>
        <w:ind w:left="1725" w:hanging="302"/>
      </w:pPr>
      <w:rPr>
        <w:rFonts w:hint="default"/>
        <w:lang w:val="it-IT" w:eastAsia="it-IT" w:bidi="it-IT"/>
      </w:rPr>
    </w:lvl>
    <w:lvl w:ilvl="4">
      <w:numFmt w:val="bullet"/>
      <w:lvlText w:val="•"/>
      <w:lvlJc w:val="left"/>
      <w:pPr>
        <w:ind w:left="2267" w:hanging="302"/>
      </w:pPr>
      <w:rPr>
        <w:rFonts w:hint="default"/>
        <w:lang w:val="it-IT" w:eastAsia="it-IT" w:bidi="it-IT"/>
      </w:rPr>
    </w:lvl>
    <w:lvl w:ilvl="5">
      <w:numFmt w:val="bullet"/>
      <w:lvlText w:val="•"/>
      <w:lvlJc w:val="left"/>
      <w:pPr>
        <w:ind w:left="2809" w:hanging="302"/>
      </w:pPr>
      <w:rPr>
        <w:rFonts w:hint="default"/>
        <w:lang w:val="it-IT" w:eastAsia="it-IT" w:bidi="it-IT"/>
      </w:rPr>
    </w:lvl>
    <w:lvl w:ilvl="6">
      <w:numFmt w:val="bullet"/>
      <w:lvlText w:val="•"/>
      <w:lvlJc w:val="left"/>
      <w:pPr>
        <w:ind w:left="3351" w:hanging="302"/>
      </w:pPr>
      <w:rPr>
        <w:rFonts w:hint="default"/>
        <w:lang w:val="it-IT" w:eastAsia="it-IT" w:bidi="it-IT"/>
      </w:rPr>
    </w:lvl>
    <w:lvl w:ilvl="7">
      <w:numFmt w:val="bullet"/>
      <w:lvlText w:val="•"/>
      <w:lvlJc w:val="left"/>
      <w:pPr>
        <w:ind w:left="3893" w:hanging="302"/>
      </w:pPr>
      <w:rPr>
        <w:rFonts w:hint="default"/>
        <w:lang w:val="it-IT" w:eastAsia="it-IT" w:bidi="it-IT"/>
      </w:rPr>
    </w:lvl>
    <w:lvl w:ilvl="8">
      <w:numFmt w:val="bullet"/>
      <w:lvlText w:val="•"/>
      <w:lvlJc w:val="left"/>
      <w:pPr>
        <w:ind w:left="4435" w:hanging="302"/>
      </w:pPr>
      <w:rPr>
        <w:rFonts w:hint="default"/>
        <w:lang w:val="it-IT" w:eastAsia="it-IT" w:bidi="it-IT"/>
      </w:rPr>
    </w:lvl>
  </w:abstractNum>
  <w:abstractNum w:abstractNumId="5" w15:restartNumberingAfterBreak="0">
    <w:nsid w:val="5DB41C63"/>
    <w:multiLevelType w:val="hybridMultilevel"/>
    <w:tmpl w:val="76E0ECDC"/>
    <w:lvl w:ilvl="0" w:tplc="59AEDC34">
      <w:start w:val="1"/>
      <w:numFmt w:val="lowerLetter"/>
      <w:lvlText w:val="%1)"/>
      <w:lvlJc w:val="left"/>
      <w:pPr>
        <w:ind w:left="106" w:hanging="207"/>
      </w:pPr>
      <w:rPr>
        <w:rFonts w:ascii="Calibri Light" w:eastAsia="Calibri Light" w:hAnsi="Calibri Light" w:cs="Calibri Light" w:hint="default"/>
        <w:color w:val="231F20"/>
        <w:spacing w:val="-14"/>
        <w:w w:val="94"/>
        <w:sz w:val="18"/>
        <w:szCs w:val="18"/>
        <w:lang w:val="it-IT" w:eastAsia="it-IT" w:bidi="it-IT"/>
      </w:rPr>
    </w:lvl>
    <w:lvl w:ilvl="1" w:tplc="63927682">
      <w:numFmt w:val="bullet"/>
      <w:lvlText w:val="•"/>
      <w:lvlJc w:val="left"/>
      <w:pPr>
        <w:ind w:left="641" w:hanging="207"/>
      </w:pPr>
      <w:rPr>
        <w:rFonts w:hint="default"/>
        <w:lang w:val="it-IT" w:eastAsia="it-IT" w:bidi="it-IT"/>
      </w:rPr>
    </w:lvl>
    <w:lvl w:ilvl="2" w:tplc="B464CCB6">
      <w:numFmt w:val="bullet"/>
      <w:lvlText w:val="•"/>
      <w:lvlJc w:val="left"/>
      <w:pPr>
        <w:ind w:left="1183" w:hanging="207"/>
      </w:pPr>
      <w:rPr>
        <w:rFonts w:hint="default"/>
        <w:lang w:val="it-IT" w:eastAsia="it-IT" w:bidi="it-IT"/>
      </w:rPr>
    </w:lvl>
    <w:lvl w:ilvl="3" w:tplc="033C5D50">
      <w:numFmt w:val="bullet"/>
      <w:lvlText w:val="•"/>
      <w:lvlJc w:val="left"/>
      <w:pPr>
        <w:ind w:left="1725" w:hanging="207"/>
      </w:pPr>
      <w:rPr>
        <w:rFonts w:hint="default"/>
        <w:lang w:val="it-IT" w:eastAsia="it-IT" w:bidi="it-IT"/>
      </w:rPr>
    </w:lvl>
    <w:lvl w:ilvl="4" w:tplc="1A1048EE">
      <w:numFmt w:val="bullet"/>
      <w:lvlText w:val="•"/>
      <w:lvlJc w:val="left"/>
      <w:pPr>
        <w:ind w:left="2267" w:hanging="207"/>
      </w:pPr>
      <w:rPr>
        <w:rFonts w:hint="default"/>
        <w:lang w:val="it-IT" w:eastAsia="it-IT" w:bidi="it-IT"/>
      </w:rPr>
    </w:lvl>
    <w:lvl w:ilvl="5" w:tplc="3460A4F4">
      <w:numFmt w:val="bullet"/>
      <w:lvlText w:val="•"/>
      <w:lvlJc w:val="left"/>
      <w:pPr>
        <w:ind w:left="2809" w:hanging="207"/>
      </w:pPr>
      <w:rPr>
        <w:rFonts w:hint="default"/>
        <w:lang w:val="it-IT" w:eastAsia="it-IT" w:bidi="it-IT"/>
      </w:rPr>
    </w:lvl>
    <w:lvl w:ilvl="6" w:tplc="95C29DB8">
      <w:numFmt w:val="bullet"/>
      <w:lvlText w:val="•"/>
      <w:lvlJc w:val="left"/>
      <w:pPr>
        <w:ind w:left="3351" w:hanging="207"/>
      </w:pPr>
      <w:rPr>
        <w:rFonts w:hint="default"/>
        <w:lang w:val="it-IT" w:eastAsia="it-IT" w:bidi="it-IT"/>
      </w:rPr>
    </w:lvl>
    <w:lvl w:ilvl="7" w:tplc="1B7CD6CE">
      <w:numFmt w:val="bullet"/>
      <w:lvlText w:val="•"/>
      <w:lvlJc w:val="left"/>
      <w:pPr>
        <w:ind w:left="3893" w:hanging="207"/>
      </w:pPr>
      <w:rPr>
        <w:rFonts w:hint="default"/>
        <w:lang w:val="it-IT" w:eastAsia="it-IT" w:bidi="it-IT"/>
      </w:rPr>
    </w:lvl>
    <w:lvl w:ilvl="8" w:tplc="55B0BD88">
      <w:numFmt w:val="bullet"/>
      <w:lvlText w:val="•"/>
      <w:lvlJc w:val="left"/>
      <w:pPr>
        <w:ind w:left="4435" w:hanging="207"/>
      </w:pPr>
      <w:rPr>
        <w:rFonts w:hint="default"/>
        <w:lang w:val="it-IT" w:eastAsia="it-IT" w:bidi="it-IT"/>
      </w:rPr>
    </w:lvl>
  </w:abstractNum>
  <w:abstractNum w:abstractNumId="6" w15:restartNumberingAfterBreak="0">
    <w:nsid w:val="648E72AC"/>
    <w:multiLevelType w:val="hybridMultilevel"/>
    <w:tmpl w:val="EEC6D04E"/>
    <w:lvl w:ilvl="0" w:tplc="D700B074">
      <w:start w:val="1"/>
      <w:numFmt w:val="lowerLetter"/>
      <w:lvlText w:val="%1)"/>
      <w:lvlJc w:val="left"/>
      <w:pPr>
        <w:ind w:left="106" w:hanging="165"/>
      </w:pPr>
      <w:rPr>
        <w:rFonts w:ascii="Calibri Light" w:eastAsia="Calibri Light" w:hAnsi="Calibri Light" w:cs="Calibri Light" w:hint="default"/>
        <w:color w:val="231F20"/>
        <w:w w:val="100"/>
        <w:sz w:val="18"/>
        <w:szCs w:val="18"/>
        <w:lang w:val="it-IT" w:eastAsia="it-IT" w:bidi="it-IT"/>
      </w:rPr>
    </w:lvl>
    <w:lvl w:ilvl="1" w:tplc="E1AADC66">
      <w:numFmt w:val="bullet"/>
      <w:lvlText w:val="•"/>
      <w:lvlJc w:val="left"/>
      <w:pPr>
        <w:ind w:left="641" w:hanging="165"/>
      </w:pPr>
      <w:rPr>
        <w:rFonts w:hint="default"/>
        <w:lang w:val="it-IT" w:eastAsia="it-IT" w:bidi="it-IT"/>
      </w:rPr>
    </w:lvl>
    <w:lvl w:ilvl="2" w:tplc="AD3A1D88">
      <w:numFmt w:val="bullet"/>
      <w:lvlText w:val="•"/>
      <w:lvlJc w:val="left"/>
      <w:pPr>
        <w:ind w:left="1183" w:hanging="165"/>
      </w:pPr>
      <w:rPr>
        <w:rFonts w:hint="default"/>
        <w:lang w:val="it-IT" w:eastAsia="it-IT" w:bidi="it-IT"/>
      </w:rPr>
    </w:lvl>
    <w:lvl w:ilvl="3" w:tplc="5B9E49E2">
      <w:numFmt w:val="bullet"/>
      <w:lvlText w:val="•"/>
      <w:lvlJc w:val="left"/>
      <w:pPr>
        <w:ind w:left="1725" w:hanging="165"/>
      </w:pPr>
      <w:rPr>
        <w:rFonts w:hint="default"/>
        <w:lang w:val="it-IT" w:eastAsia="it-IT" w:bidi="it-IT"/>
      </w:rPr>
    </w:lvl>
    <w:lvl w:ilvl="4" w:tplc="DD989826">
      <w:numFmt w:val="bullet"/>
      <w:lvlText w:val="•"/>
      <w:lvlJc w:val="left"/>
      <w:pPr>
        <w:ind w:left="2267" w:hanging="165"/>
      </w:pPr>
      <w:rPr>
        <w:rFonts w:hint="default"/>
        <w:lang w:val="it-IT" w:eastAsia="it-IT" w:bidi="it-IT"/>
      </w:rPr>
    </w:lvl>
    <w:lvl w:ilvl="5" w:tplc="82686B54">
      <w:numFmt w:val="bullet"/>
      <w:lvlText w:val="•"/>
      <w:lvlJc w:val="left"/>
      <w:pPr>
        <w:ind w:left="2809" w:hanging="165"/>
      </w:pPr>
      <w:rPr>
        <w:rFonts w:hint="default"/>
        <w:lang w:val="it-IT" w:eastAsia="it-IT" w:bidi="it-IT"/>
      </w:rPr>
    </w:lvl>
    <w:lvl w:ilvl="6" w:tplc="D09435A0">
      <w:numFmt w:val="bullet"/>
      <w:lvlText w:val="•"/>
      <w:lvlJc w:val="left"/>
      <w:pPr>
        <w:ind w:left="3351" w:hanging="165"/>
      </w:pPr>
      <w:rPr>
        <w:rFonts w:hint="default"/>
        <w:lang w:val="it-IT" w:eastAsia="it-IT" w:bidi="it-IT"/>
      </w:rPr>
    </w:lvl>
    <w:lvl w:ilvl="7" w:tplc="A6E674B2">
      <w:numFmt w:val="bullet"/>
      <w:lvlText w:val="•"/>
      <w:lvlJc w:val="left"/>
      <w:pPr>
        <w:ind w:left="3893" w:hanging="165"/>
      </w:pPr>
      <w:rPr>
        <w:rFonts w:hint="default"/>
        <w:lang w:val="it-IT" w:eastAsia="it-IT" w:bidi="it-IT"/>
      </w:rPr>
    </w:lvl>
    <w:lvl w:ilvl="8" w:tplc="6AA83CFE">
      <w:numFmt w:val="bullet"/>
      <w:lvlText w:val="•"/>
      <w:lvlJc w:val="left"/>
      <w:pPr>
        <w:ind w:left="4435" w:hanging="165"/>
      </w:pPr>
      <w:rPr>
        <w:rFonts w:hint="default"/>
        <w:lang w:val="it-IT" w:eastAsia="it-IT" w:bidi="it-IT"/>
      </w:rPr>
    </w:lvl>
  </w:abstractNum>
  <w:abstractNum w:abstractNumId="7" w15:restartNumberingAfterBreak="0">
    <w:nsid w:val="66297AED"/>
    <w:multiLevelType w:val="multilevel"/>
    <w:tmpl w:val="0496542E"/>
    <w:lvl w:ilvl="0">
      <w:start w:val="3"/>
      <w:numFmt w:val="decimal"/>
      <w:lvlText w:val="%1"/>
      <w:lvlJc w:val="left"/>
      <w:pPr>
        <w:ind w:left="106" w:hanging="274"/>
      </w:pPr>
      <w:rPr>
        <w:rFonts w:hint="default"/>
        <w:lang w:val="it-IT" w:eastAsia="it-IT" w:bidi="it-IT"/>
      </w:rPr>
    </w:lvl>
    <w:lvl w:ilvl="1">
      <w:start w:val="1"/>
      <w:numFmt w:val="decimal"/>
      <w:lvlText w:val="%1.%2"/>
      <w:lvlJc w:val="left"/>
      <w:pPr>
        <w:ind w:left="106" w:hanging="274"/>
      </w:pPr>
      <w:rPr>
        <w:rFonts w:ascii="Calibri Light" w:eastAsia="Calibri Light" w:hAnsi="Calibri Light" w:cs="Calibri Light" w:hint="default"/>
        <w:color w:val="231F20"/>
        <w:w w:val="100"/>
        <w:sz w:val="18"/>
        <w:szCs w:val="18"/>
        <w:lang w:val="it-IT" w:eastAsia="it-IT" w:bidi="it-IT"/>
      </w:rPr>
    </w:lvl>
    <w:lvl w:ilvl="2">
      <w:numFmt w:val="bullet"/>
      <w:lvlText w:val="•"/>
      <w:lvlJc w:val="left"/>
      <w:pPr>
        <w:ind w:left="1163" w:hanging="274"/>
      </w:pPr>
      <w:rPr>
        <w:rFonts w:hint="default"/>
        <w:lang w:val="it-IT" w:eastAsia="it-IT" w:bidi="it-IT"/>
      </w:rPr>
    </w:lvl>
    <w:lvl w:ilvl="3">
      <w:numFmt w:val="bullet"/>
      <w:lvlText w:val="•"/>
      <w:lvlJc w:val="left"/>
      <w:pPr>
        <w:ind w:left="1694" w:hanging="274"/>
      </w:pPr>
      <w:rPr>
        <w:rFonts w:hint="default"/>
        <w:lang w:val="it-IT" w:eastAsia="it-IT" w:bidi="it-IT"/>
      </w:rPr>
    </w:lvl>
    <w:lvl w:ilvl="4">
      <w:numFmt w:val="bullet"/>
      <w:lvlText w:val="•"/>
      <w:lvlJc w:val="left"/>
      <w:pPr>
        <w:ind w:left="2226" w:hanging="274"/>
      </w:pPr>
      <w:rPr>
        <w:rFonts w:hint="default"/>
        <w:lang w:val="it-IT" w:eastAsia="it-IT" w:bidi="it-IT"/>
      </w:rPr>
    </w:lvl>
    <w:lvl w:ilvl="5">
      <w:numFmt w:val="bullet"/>
      <w:lvlText w:val="•"/>
      <w:lvlJc w:val="left"/>
      <w:pPr>
        <w:ind w:left="2758" w:hanging="274"/>
      </w:pPr>
      <w:rPr>
        <w:rFonts w:hint="default"/>
        <w:lang w:val="it-IT" w:eastAsia="it-IT" w:bidi="it-IT"/>
      </w:rPr>
    </w:lvl>
    <w:lvl w:ilvl="6">
      <w:numFmt w:val="bullet"/>
      <w:lvlText w:val="•"/>
      <w:lvlJc w:val="left"/>
      <w:pPr>
        <w:ind w:left="3289" w:hanging="274"/>
      </w:pPr>
      <w:rPr>
        <w:rFonts w:hint="default"/>
        <w:lang w:val="it-IT" w:eastAsia="it-IT" w:bidi="it-IT"/>
      </w:rPr>
    </w:lvl>
    <w:lvl w:ilvl="7">
      <w:numFmt w:val="bullet"/>
      <w:lvlText w:val="•"/>
      <w:lvlJc w:val="left"/>
      <w:pPr>
        <w:ind w:left="3821" w:hanging="274"/>
      </w:pPr>
      <w:rPr>
        <w:rFonts w:hint="default"/>
        <w:lang w:val="it-IT" w:eastAsia="it-IT" w:bidi="it-IT"/>
      </w:rPr>
    </w:lvl>
    <w:lvl w:ilvl="8">
      <w:numFmt w:val="bullet"/>
      <w:lvlText w:val="•"/>
      <w:lvlJc w:val="left"/>
      <w:pPr>
        <w:ind w:left="4353" w:hanging="274"/>
      </w:pPr>
      <w:rPr>
        <w:rFonts w:hint="default"/>
        <w:lang w:val="it-IT" w:eastAsia="it-IT" w:bidi="it-IT"/>
      </w:rPr>
    </w:lvl>
  </w:abstractNum>
  <w:abstractNum w:abstractNumId="8" w15:restartNumberingAfterBreak="0">
    <w:nsid w:val="7FAD53C7"/>
    <w:multiLevelType w:val="hybridMultilevel"/>
    <w:tmpl w:val="A5B81A92"/>
    <w:lvl w:ilvl="0" w:tplc="9196CBE2">
      <w:start w:val="1"/>
      <w:numFmt w:val="lowerLetter"/>
      <w:lvlText w:val="%1)"/>
      <w:lvlJc w:val="left"/>
      <w:pPr>
        <w:ind w:left="286" w:hanging="180"/>
      </w:pPr>
      <w:rPr>
        <w:rFonts w:ascii="Calibri Light" w:eastAsia="Calibri Light" w:hAnsi="Calibri Light" w:cs="Calibri Light" w:hint="default"/>
        <w:color w:val="231F20"/>
        <w:spacing w:val="-14"/>
        <w:w w:val="97"/>
        <w:sz w:val="18"/>
        <w:szCs w:val="18"/>
        <w:lang w:val="it-IT" w:eastAsia="it-IT" w:bidi="it-IT"/>
      </w:rPr>
    </w:lvl>
    <w:lvl w:ilvl="1" w:tplc="4C7A5E3A">
      <w:numFmt w:val="bullet"/>
      <w:lvlText w:val="•"/>
      <w:lvlJc w:val="left"/>
      <w:pPr>
        <w:ind w:left="793" w:hanging="180"/>
      </w:pPr>
      <w:rPr>
        <w:rFonts w:hint="default"/>
        <w:lang w:val="it-IT" w:eastAsia="it-IT" w:bidi="it-IT"/>
      </w:rPr>
    </w:lvl>
    <w:lvl w:ilvl="2" w:tplc="30A2155E">
      <w:numFmt w:val="bullet"/>
      <w:lvlText w:val="•"/>
      <w:lvlJc w:val="left"/>
      <w:pPr>
        <w:ind w:left="1307" w:hanging="180"/>
      </w:pPr>
      <w:rPr>
        <w:rFonts w:hint="default"/>
        <w:lang w:val="it-IT" w:eastAsia="it-IT" w:bidi="it-IT"/>
      </w:rPr>
    </w:lvl>
    <w:lvl w:ilvl="3" w:tplc="F998C97E">
      <w:numFmt w:val="bullet"/>
      <w:lvlText w:val="•"/>
      <w:lvlJc w:val="left"/>
      <w:pPr>
        <w:ind w:left="1821" w:hanging="180"/>
      </w:pPr>
      <w:rPr>
        <w:rFonts w:hint="default"/>
        <w:lang w:val="it-IT" w:eastAsia="it-IT" w:bidi="it-IT"/>
      </w:rPr>
    </w:lvl>
    <w:lvl w:ilvl="4" w:tplc="6FAA6078">
      <w:numFmt w:val="bullet"/>
      <w:lvlText w:val="•"/>
      <w:lvlJc w:val="left"/>
      <w:pPr>
        <w:ind w:left="2334" w:hanging="180"/>
      </w:pPr>
      <w:rPr>
        <w:rFonts w:hint="default"/>
        <w:lang w:val="it-IT" w:eastAsia="it-IT" w:bidi="it-IT"/>
      </w:rPr>
    </w:lvl>
    <w:lvl w:ilvl="5" w:tplc="68BC961A">
      <w:numFmt w:val="bullet"/>
      <w:lvlText w:val="•"/>
      <w:lvlJc w:val="left"/>
      <w:pPr>
        <w:ind w:left="2848" w:hanging="180"/>
      </w:pPr>
      <w:rPr>
        <w:rFonts w:hint="default"/>
        <w:lang w:val="it-IT" w:eastAsia="it-IT" w:bidi="it-IT"/>
      </w:rPr>
    </w:lvl>
    <w:lvl w:ilvl="6" w:tplc="C994CF58">
      <w:numFmt w:val="bullet"/>
      <w:lvlText w:val="•"/>
      <w:lvlJc w:val="left"/>
      <w:pPr>
        <w:ind w:left="3362" w:hanging="180"/>
      </w:pPr>
      <w:rPr>
        <w:rFonts w:hint="default"/>
        <w:lang w:val="it-IT" w:eastAsia="it-IT" w:bidi="it-IT"/>
      </w:rPr>
    </w:lvl>
    <w:lvl w:ilvl="7" w:tplc="03949E40">
      <w:numFmt w:val="bullet"/>
      <w:lvlText w:val="•"/>
      <w:lvlJc w:val="left"/>
      <w:pPr>
        <w:ind w:left="3875" w:hanging="180"/>
      </w:pPr>
      <w:rPr>
        <w:rFonts w:hint="default"/>
        <w:lang w:val="it-IT" w:eastAsia="it-IT" w:bidi="it-IT"/>
      </w:rPr>
    </w:lvl>
    <w:lvl w:ilvl="8" w:tplc="AC00EAF0">
      <w:numFmt w:val="bullet"/>
      <w:lvlText w:val="•"/>
      <w:lvlJc w:val="left"/>
      <w:pPr>
        <w:ind w:left="4389" w:hanging="180"/>
      </w:pPr>
      <w:rPr>
        <w:rFonts w:hint="default"/>
        <w:lang w:val="it-IT" w:eastAsia="it-IT" w:bidi="it-IT"/>
      </w:rPr>
    </w:lvl>
  </w:abstractNum>
  <w:num w:numId="1">
    <w:abstractNumId w:val="8"/>
  </w:num>
  <w:num w:numId="2">
    <w:abstractNumId w:val="3"/>
  </w:num>
  <w:num w:numId="3">
    <w:abstractNumId w:val="6"/>
  </w:num>
  <w:num w:numId="4">
    <w:abstractNumId w:val="1"/>
  </w:num>
  <w:num w:numId="5">
    <w:abstractNumId w:val="5"/>
  </w:num>
  <w:num w:numId="6">
    <w:abstractNumId w:val="2"/>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712"/>
    <w:rsid w:val="00027C56"/>
    <w:rsid w:val="00031271"/>
    <w:rsid w:val="00033855"/>
    <w:rsid w:val="000B68EF"/>
    <w:rsid w:val="000C3895"/>
    <w:rsid w:val="00117508"/>
    <w:rsid w:val="00167613"/>
    <w:rsid w:val="00173FBF"/>
    <w:rsid w:val="001C7BB6"/>
    <w:rsid w:val="002138EF"/>
    <w:rsid w:val="00245773"/>
    <w:rsid w:val="0025284B"/>
    <w:rsid w:val="0027342C"/>
    <w:rsid w:val="00285A10"/>
    <w:rsid w:val="002C2FF5"/>
    <w:rsid w:val="002C6CC4"/>
    <w:rsid w:val="002F2F2C"/>
    <w:rsid w:val="002F557A"/>
    <w:rsid w:val="0033711D"/>
    <w:rsid w:val="00337219"/>
    <w:rsid w:val="00362CA9"/>
    <w:rsid w:val="003A07FD"/>
    <w:rsid w:val="003A179A"/>
    <w:rsid w:val="003C4921"/>
    <w:rsid w:val="003E090E"/>
    <w:rsid w:val="004349F6"/>
    <w:rsid w:val="004427E0"/>
    <w:rsid w:val="00455AFF"/>
    <w:rsid w:val="00481BCA"/>
    <w:rsid w:val="0048754A"/>
    <w:rsid w:val="00493D0F"/>
    <w:rsid w:val="004C3EC8"/>
    <w:rsid w:val="004D4F8A"/>
    <w:rsid w:val="00502154"/>
    <w:rsid w:val="00551AB9"/>
    <w:rsid w:val="00553720"/>
    <w:rsid w:val="00560110"/>
    <w:rsid w:val="00590CC7"/>
    <w:rsid w:val="005F3817"/>
    <w:rsid w:val="00610ED1"/>
    <w:rsid w:val="006256E7"/>
    <w:rsid w:val="00663089"/>
    <w:rsid w:val="00680701"/>
    <w:rsid w:val="00693B15"/>
    <w:rsid w:val="006D4D49"/>
    <w:rsid w:val="006E6D07"/>
    <w:rsid w:val="006F3490"/>
    <w:rsid w:val="007157F3"/>
    <w:rsid w:val="00753BB4"/>
    <w:rsid w:val="007650FE"/>
    <w:rsid w:val="00770E39"/>
    <w:rsid w:val="0078299C"/>
    <w:rsid w:val="0079403B"/>
    <w:rsid w:val="007B44D0"/>
    <w:rsid w:val="007E147E"/>
    <w:rsid w:val="0083736D"/>
    <w:rsid w:val="008600E1"/>
    <w:rsid w:val="00874712"/>
    <w:rsid w:val="00885BC8"/>
    <w:rsid w:val="00890A72"/>
    <w:rsid w:val="008A3631"/>
    <w:rsid w:val="008A38A8"/>
    <w:rsid w:val="008F209F"/>
    <w:rsid w:val="00932B84"/>
    <w:rsid w:val="00990560"/>
    <w:rsid w:val="009B1C9D"/>
    <w:rsid w:val="009C7C41"/>
    <w:rsid w:val="00A24888"/>
    <w:rsid w:val="00A76256"/>
    <w:rsid w:val="00A94C9F"/>
    <w:rsid w:val="00AD7A2C"/>
    <w:rsid w:val="00AF0B51"/>
    <w:rsid w:val="00B00283"/>
    <w:rsid w:val="00B157F8"/>
    <w:rsid w:val="00B84823"/>
    <w:rsid w:val="00BA1816"/>
    <w:rsid w:val="00BC0A78"/>
    <w:rsid w:val="00C15933"/>
    <w:rsid w:val="00C166F2"/>
    <w:rsid w:val="00C411F4"/>
    <w:rsid w:val="00C518C9"/>
    <w:rsid w:val="00C87BC2"/>
    <w:rsid w:val="00D032AB"/>
    <w:rsid w:val="00D04DDC"/>
    <w:rsid w:val="00D36A84"/>
    <w:rsid w:val="00D7089C"/>
    <w:rsid w:val="00D87A07"/>
    <w:rsid w:val="00DD3C63"/>
    <w:rsid w:val="00DE5BA1"/>
    <w:rsid w:val="00E36D4C"/>
    <w:rsid w:val="00E5117E"/>
    <w:rsid w:val="00E52ECF"/>
    <w:rsid w:val="00EA165F"/>
    <w:rsid w:val="00EA79EC"/>
    <w:rsid w:val="00EC05D2"/>
    <w:rsid w:val="00EC6061"/>
    <w:rsid w:val="00EE08B5"/>
    <w:rsid w:val="00EE2E9F"/>
    <w:rsid w:val="00EF4B8E"/>
    <w:rsid w:val="00F01151"/>
    <w:rsid w:val="00F039E8"/>
    <w:rsid w:val="00F17270"/>
    <w:rsid w:val="00F23EA8"/>
    <w:rsid w:val="00F24D74"/>
    <w:rsid w:val="00F70C64"/>
    <w:rsid w:val="00F769E7"/>
    <w:rsid w:val="00F87B65"/>
    <w:rsid w:val="00FA0F14"/>
    <w:rsid w:val="00FA4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CEEEE"/>
  <w15:chartTrackingRefBased/>
  <w15:docId w15:val="{7E98B642-058C-478E-ADEB-9471296B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747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74712"/>
  </w:style>
  <w:style w:type="paragraph" w:styleId="Pidipagina">
    <w:name w:val="footer"/>
    <w:basedOn w:val="Normale"/>
    <w:link w:val="PidipaginaCarattere"/>
    <w:uiPriority w:val="99"/>
    <w:unhideWhenUsed/>
    <w:rsid w:val="008747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74712"/>
  </w:style>
  <w:style w:type="table" w:styleId="Grigliatabella">
    <w:name w:val="Table Grid"/>
    <w:basedOn w:val="Tabellanormale"/>
    <w:uiPriority w:val="39"/>
    <w:rsid w:val="00874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874712"/>
    <w:rPr>
      <w:color w:val="0563C1" w:themeColor="hyperlink"/>
      <w:u w:val="single"/>
    </w:rPr>
  </w:style>
  <w:style w:type="paragraph" w:customStyle="1" w:styleId="testo">
    <w:name w:val="testo"/>
    <w:basedOn w:val="Normale"/>
    <w:qFormat/>
    <w:rsid w:val="00EE2E9F"/>
    <w:rPr>
      <w:rFonts w:ascii="URW DIN" w:hAnsi="URW DIN" w:cstheme="minorHAnsi"/>
      <w:sz w:val="14"/>
      <w:szCs w:val="14"/>
    </w:rPr>
  </w:style>
  <w:style w:type="paragraph" w:styleId="Corpotesto">
    <w:name w:val="Body Text"/>
    <w:basedOn w:val="Normale"/>
    <w:link w:val="CorpotestoCarattere"/>
    <w:uiPriority w:val="1"/>
    <w:qFormat/>
    <w:rsid w:val="00C411F4"/>
    <w:pPr>
      <w:widowControl w:val="0"/>
      <w:autoSpaceDE w:val="0"/>
      <w:autoSpaceDN w:val="0"/>
      <w:spacing w:after="0" w:line="240" w:lineRule="auto"/>
    </w:pPr>
    <w:rPr>
      <w:rFonts w:ascii="Arial" w:eastAsia="Arial" w:hAnsi="Arial" w:cs="Arial"/>
      <w:sz w:val="18"/>
      <w:szCs w:val="18"/>
      <w:lang w:val="en-US"/>
    </w:rPr>
  </w:style>
  <w:style w:type="character" w:customStyle="1" w:styleId="CorpotestoCarattere">
    <w:name w:val="Corpo testo Carattere"/>
    <w:basedOn w:val="Carpredefinitoparagrafo"/>
    <w:link w:val="Corpotesto"/>
    <w:uiPriority w:val="1"/>
    <w:rsid w:val="00C411F4"/>
    <w:rPr>
      <w:rFonts w:ascii="Arial" w:eastAsia="Arial" w:hAnsi="Arial" w:cs="Arial"/>
      <w:sz w:val="18"/>
      <w:szCs w:val="18"/>
      <w:lang w:val="en-US"/>
    </w:rPr>
  </w:style>
  <w:style w:type="table" w:customStyle="1" w:styleId="TableNormal">
    <w:name w:val="Table Normal"/>
    <w:uiPriority w:val="2"/>
    <w:semiHidden/>
    <w:unhideWhenUsed/>
    <w:qFormat/>
    <w:rsid w:val="00C159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Menzionenonrisolta">
    <w:name w:val="Unresolved Mention"/>
    <w:basedOn w:val="Carpredefinitoparagrafo"/>
    <w:uiPriority w:val="99"/>
    <w:semiHidden/>
    <w:unhideWhenUsed/>
    <w:rsid w:val="00167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auricaenergia.com" TargetMode="External"/><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540D8-9D99-47E7-92F5-19EA2290F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7</Pages>
  <Words>8943</Words>
  <Characters>50976</Characters>
  <Application>Microsoft Office Word</Application>
  <DocSecurity>0</DocSecurity>
  <Lines>424</Lines>
  <Paragraphs>119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Damiano</dc:creator>
  <cp:keywords/>
  <dc:description/>
  <cp:lastModifiedBy>Damiano</cp:lastModifiedBy>
  <cp:revision>73</cp:revision>
  <dcterms:created xsi:type="dcterms:W3CDTF">2019-07-24T13:48:00Z</dcterms:created>
  <dcterms:modified xsi:type="dcterms:W3CDTF">2019-07-25T13:19:00Z</dcterms:modified>
</cp:coreProperties>
</file>